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88729">
      <w:pPr>
        <w:pStyle w:val="36"/>
        <w:spacing w:before="2200"/>
      </w:pPr>
      <w:r>
        <w:t>无障碍环境建设测评报告 导盲犬入住酒店</w:t>
      </w:r>
    </w:p>
    <w:p w14:paraId="4A161832">
      <w:pPr>
        <w:pStyle w:val="29"/>
      </w:pPr>
      <w:r>
        <w:t>完整报告</w:t>
      </w:r>
    </w:p>
    <w:p w14:paraId="4CAB0A02">
      <w:pPr>
        <w:pStyle w:val="29"/>
      </w:pPr>
      <w:r>
        <w:rPr>
          <w:rFonts w:hint="eastAsia"/>
        </w:rPr>
        <w:t>基于</w:t>
      </w:r>
      <w:r>
        <w:t>30</w:t>
      </w:r>
      <w:r>
        <w:rPr>
          <w:rFonts w:hint="eastAsia"/>
        </w:rPr>
        <w:t>个城市</w:t>
      </w:r>
      <w:r>
        <w:t>10</w:t>
      </w:r>
      <w:r>
        <w:rPr>
          <w:rFonts w:hint="eastAsia"/>
        </w:rPr>
        <w:t>个</w:t>
      </w:r>
      <w:r>
        <w:rPr>
          <w:rFonts w:hint="eastAsia" w:ascii="微软雅黑" w:hAnsi="微软雅黑" w:eastAsia="微软雅黑" w:cs="微软雅黑"/>
        </w:rPr>
        <w:t>连锁</w:t>
      </w:r>
      <w:r>
        <w:rPr>
          <w:rFonts w:hint="eastAsia" w:ascii="MS Gothic" w:hAnsi="MS Gothic" w:eastAsia="MS Gothic" w:cs="MS Gothic"/>
        </w:rPr>
        <w:t>酒店品牌</w:t>
      </w:r>
      <w:r>
        <w:rPr>
          <w:rFonts w:hint="eastAsia" w:ascii="微软雅黑" w:hAnsi="微软雅黑" w:eastAsia="微软雅黑" w:cs="微软雅黑"/>
        </w:rPr>
        <w:t>样</w:t>
      </w:r>
      <w:r>
        <w:rPr>
          <w:rFonts w:hint="eastAsia" w:ascii="MS Gothic" w:hAnsi="MS Gothic" w:eastAsia="MS Gothic" w:cs="MS Gothic"/>
        </w:rPr>
        <w:t>本的</w:t>
      </w:r>
      <w:r>
        <w:rPr>
          <w:rFonts w:hint="eastAsia" w:ascii="微软雅黑" w:hAnsi="微软雅黑" w:eastAsia="微软雅黑" w:cs="微软雅黑"/>
        </w:rPr>
        <w:t>电话调</w:t>
      </w:r>
      <w:r>
        <w:rPr>
          <w:rFonts w:hint="eastAsia" w:ascii="MS Gothic" w:hAnsi="MS Gothic" w:eastAsia="MS Gothic" w:cs="MS Gothic"/>
        </w:rPr>
        <w:t>研</w:t>
      </w:r>
    </w:p>
    <w:p w14:paraId="58ABD261">
      <w:r>
        <w:t>出品方：酷残未来研究院</w:t>
      </w:r>
    </w:p>
    <w:p w14:paraId="52B2C368">
      <w:r>
        <w:t>协作机构：一加一融合加速器；金盲杖视障自立生活</w:t>
      </w:r>
    </w:p>
    <w:p w14:paraId="2EFF4366">
      <w:pPr>
        <w:pStyle w:val="172"/>
        <w:pageBreakBefore/>
      </w:pPr>
      <w:r>
        <w:t>出品与鸣谢</w:t>
      </w:r>
    </w:p>
    <w:p w14:paraId="11C978FF">
      <w:r>
        <w:rPr>
          <w:b/>
        </w:rPr>
        <w:t>出品方：</w:t>
      </w:r>
      <w:r>
        <w:t>酷残未来研究院</w:t>
      </w:r>
    </w:p>
    <w:p w14:paraId="79339969">
      <w:r>
        <w:rPr>
          <w:b/>
        </w:rPr>
        <w:t>协作机构：</w:t>
      </w:r>
      <w:r>
        <w:t>一加一融合加速器；金盲杖视障自立生活</w:t>
      </w:r>
    </w:p>
    <w:p w14:paraId="4B915BFC">
      <w:r>
        <w:rPr>
          <w:b/>
        </w:rPr>
        <w:t>研究团队：</w:t>
      </w:r>
      <w:r>
        <w:t>柳嘉慜、李娜、吴凡、宋语欣、关钦、付鹏伟</w:t>
      </w:r>
    </w:p>
    <w:p w14:paraId="2282C2B7">
      <w:r>
        <w:rPr>
          <w:b/>
        </w:rPr>
        <w:t>学术指导：</w:t>
      </w:r>
      <w:r>
        <w:t>谢卓潇</w:t>
      </w:r>
    </w:p>
    <w:p w14:paraId="0D74BD1A">
      <w:r>
        <w:rPr>
          <w:b/>
        </w:rPr>
        <w:t>特别鸣谢：</w:t>
      </w:r>
      <w:r>
        <w:t>范仔伟、黄跃红、贾文杰、王志华、肖佳、周彤</w:t>
      </w:r>
    </w:p>
    <w:p w14:paraId="52874105">
      <w:pPr>
        <w:pStyle w:val="172"/>
        <w:pageBreakBefore/>
      </w:pPr>
      <w:r>
        <w:t>目录</w:t>
      </w:r>
    </w:p>
    <w:p w14:paraId="57F64ADF">
      <w:pPr>
        <w:pStyle w:val="28"/>
        <w:tabs>
          <w:tab w:val="right" w:leader="dot" w:pos="8948"/>
        </w:tabs>
        <w:rPr>
          <w:rFonts w:asciiTheme="minorHAnsi" w:hAnsiTheme="minorHAnsi" w:eastAsiaTheme="minorEastAsia"/>
          <w:color w:val="auto"/>
          <w:kern w:val="2"/>
          <w:sz w:val="22"/>
          <w:szCs w:val="24"/>
          <w:lang w:eastAsia="zh-CN"/>
          <w14:ligatures w14:val="standardContextual"/>
        </w:rPr>
      </w:pPr>
      <w:r>
        <w:fldChar w:fldCharType="begin"/>
      </w:r>
      <w:r>
        <w:instrText xml:space="preserve"> TOC \o "1-2" </w:instrText>
      </w:r>
      <w:r>
        <w:fldChar w:fldCharType="separate"/>
      </w:r>
      <w:r>
        <w:t>研究缘起</w:t>
      </w:r>
      <w:r>
        <w:tab/>
      </w:r>
      <w:r>
        <w:fldChar w:fldCharType="begin"/>
      </w:r>
      <w:r>
        <w:instrText xml:space="preserve"> PAGEREF _Toc242417932 \h </w:instrText>
      </w:r>
      <w:r>
        <w:fldChar w:fldCharType="separate"/>
      </w:r>
      <w:r>
        <w:t>4</w:t>
      </w:r>
      <w:r>
        <w:fldChar w:fldCharType="end"/>
      </w:r>
    </w:p>
    <w:p w14:paraId="1EA34054">
      <w:pPr>
        <w:pStyle w:val="28"/>
        <w:tabs>
          <w:tab w:val="right" w:leader="dot" w:pos="8948"/>
        </w:tabs>
        <w:rPr>
          <w:rFonts w:asciiTheme="minorHAnsi" w:hAnsiTheme="minorHAnsi" w:eastAsiaTheme="minorEastAsia"/>
          <w:color w:val="auto"/>
          <w:kern w:val="2"/>
          <w:sz w:val="22"/>
          <w:szCs w:val="24"/>
          <w:lang w:eastAsia="zh-CN"/>
          <w14:ligatures w14:val="standardContextual"/>
        </w:rPr>
      </w:pPr>
      <w:r>
        <w:t>主要</w:t>
      </w:r>
      <w:r>
        <w:rPr>
          <w:rFonts w:ascii="微软雅黑" w:hAnsi="微软雅黑" w:eastAsia="微软雅黑" w:cs="微软雅黑"/>
        </w:rPr>
        <w:t>发现</w:t>
      </w:r>
      <w:r>
        <w:tab/>
      </w:r>
      <w:r>
        <w:fldChar w:fldCharType="begin"/>
      </w:r>
      <w:r>
        <w:instrText xml:space="preserve"> PAGEREF _Toc242417933 \h </w:instrText>
      </w:r>
      <w:r>
        <w:fldChar w:fldCharType="separate"/>
      </w:r>
      <w:r>
        <w:t>5</w:t>
      </w:r>
      <w:r>
        <w:fldChar w:fldCharType="end"/>
      </w:r>
    </w:p>
    <w:p w14:paraId="3AA61036">
      <w:pPr>
        <w:pStyle w:val="28"/>
        <w:tabs>
          <w:tab w:val="right" w:leader="dot" w:pos="8948"/>
        </w:tabs>
        <w:rPr>
          <w:rFonts w:asciiTheme="minorHAnsi" w:hAnsiTheme="minorHAnsi" w:eastAsiaTheme="minorEastAsia"/>
          <w:color w:val="auto"/>
          <w:kern w:val="2"/>
          <w:sz w:val="22"/>
          <w:szCs w:val="24"/>
          <w:lang w:eastAsia="zh-CN"/>
          <w14:ligatures w14:val="standardContextual"/>
        </w:rPr>
      </w:pPr>
      <w:r>
        <w:t>品牌与城市排行</w:t>
      </w:r>
      <w:r>
        <w:tab/>
      </w:r>
      <w:r>
        <w:fldChar w:fldCharType="begin"/>
      </w:r>
      <w:r>
        <w:instrText xml:space="preserve"> PAGEREF _Toc900000001 \h </w:instrText>
      </w:r>
      <w:r>
        <w:fldChar w:fldCharType="separate"/>
      </w:r>
      <w:r>
        <w:t>5</w:t>
      </w:r>
      <w:r>
        <w:fldChar w:fldCharType="end"/>
      </w:r>
    </w:p>
    <w:p w14:paraId="77E79EE5">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宋体" w:hAnsi="宋体" w:eastAsia="宋体"/>
        </w:rPr>
        <w:t>第一章 研究发现</w:t>
      </w:r>
      <w:r>
        <w:tab/>
      </w:r>
      <w:r>
        <w:fldChar w:fldCharType="begin"/>
      </w:r>
      <w:r>
        <w:instrText xml:space="preserve"> PAGEREF _Toc242417934 \h </w:instrText>
      </w:r>
      <w:r>
        <w:fldChar w:fldCharType="separate"/>
      </w:r>
      <w:r>
        <w:t>6</w:t>
      </w:r>
      <w:r>
        <w:fldChar w:fldCharType="end"/>
      </w:r>
    </w:p>
    <w:p w14:paraId="0BC7A2D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一 总体接纳结果</w:t>
      </w:r>
      <w:r>
        <w:tab/>
      </w:r>
      <w:r>
        <w:fldChar w:fldCharType="begin"/>
      </w:r>
      <w:r>
        <w:instrText xml:space="preserve"> PAGEREF _Toc242417935 \h </w:instrText>
      </w:r>
      <w:r>
        <w:fldChar w:fldCharType="separate"/>
      </w:r>
      <w:r>
        <w:t>6</w:t>
      </w:r>
      <w:r>
        <w:fldChar w:fldCharType="end"/>
      </w:r>
    </w:p>
    <w:p w14:paraId="04BFD2E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二 最终拒绝</w:t>
      </w:r>
      <w:r>
        <w:tab/>
      </w:r>
      <w:r>
        <w:fldChar w:fldCharType="begin"/>
      </w:r>
      <w:r>
        <w:instrText xml:space="preserve"> PAGEREF _Toc242417936 \h </w:instrText>
      </w:r>
      <w:r>
        <w:fldChar w:fldCharType="separate"/>
      </w:r>
      <w:r>
        <w:t>7</w:t>
      </w:r>
      <w:r>
        <w:fldChar w:fldCharType="end"/>
      </w:r>
    </w:p>
    <w:p w14:paraId="4E09A60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三 沟通负担</w:t>
      </w:r>
      <w:r>
        <w:tab/>
      </w:r>
      <w:r>
        <w:fldChar w:fldCharType="begin"/>
      </w:r>
      <w:r>
        <w:instrText xml:space="preserve"> PAGEREF _Toc242417937 \h </w:instrText>
      </w:r>
      <w:r>
        <w:fldChar w:fldCharType="separate"/>
      </w:r>
      <w:r>
        <w:t>8</w:t>
      </w:r>
      <w:r>
        <w:fldChar w:fldCharType="end"/>
      </w:r>
    </w:p>
    <w:p w14:paraId="63324AE7">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四 附带条件接纳</w:t>
      </w:r>
      <w:r>
        <w:tab/>
      </w:r>
      <w:r>
        <w:fldChar w:fldCharType="begin"/>
      </w:r>
      <w:r>
        <w:instrText xml:space="preserve"> PAGEREF _Toc242417938 \h </w:instrText>
      </w:r>
      <w:r>
        <w:fldChar w:fldCharType="separate"/>
      </w:r>
      <w:r>
        <w:t>9</w:t>
      </w:r>
      <w:r>
        <w:fldChar w:fldCharType="end"/>
      </w:r>
    </w:p>
    <w:p w14:paraId="44C22483">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五 品牌与城市的接待差异</w:t>
      </w:r>
      <w:r>
        <w:tab/>
      </w:r>
      <w:r>
        <w:fldChar w:fldCharType="begin"/>
      </w:r>
      <w:r>
        <w:instrText xml:space="preserve"> PAGEREF _Toc242417940 \h </w:instrText>
      </w:r>
      <w:r>
        <w:fldChar w:fldCharType="separate"/>
      </w:r>
      <w:r>
        <w:t>9</w:t>
      </w:r>
      <w:r>
        <w:fldChar w:fldCharType="end"/>
      </w:r>
    </w:p>
    <w:p w14:paraId="66FF99B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六 研究发现小结</w:t>
      </w:r>
      <w:r>
        <w:tab/>
      </w:r>
      <w:r>
        <w:fldChar w:fldCharType="begin"/>
      </w:r>
      <w:r>
        <w:instrText xml:space="preserve"> PAGEREF _Toc242417941 \h </w:instrText>
      </w:r>
      <w:r>
        <w:fldChar w:fldCharType="separate"/>
      </w:r>
      <w:r>
        <w:t>16</w:t>
      </w:r>
      <w:r>
        <w:fldChar w:fldCharType="end"/>
      </w:r>
    </w:p>
    <w:p w14:paraId="76B80EEA">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宋体" w:hAnsi="宋体" w:eastAsia="宋体"/>
        </w:rPr>
        <w:t>第二章 原因分析</w:t>
      </w:r>
      <w:r>
        <w:tab/>
      </w:r>
      <w:r>
        <w:fldChar w:fldCharType="begin"/>
      </w:r>
      <w:r>
        <w:instrText xml:space="preserve"> PAGEREF _Toc242417942 \h </w:instrText>
      </w:r>
      <w:r>
        <w:fldChar w:fldCharType="separate"/>
      </w:r>
      <w:r>
        <w:t>17</w:t>
      </w:r>
      <w:r>
        <w:fldChar w:fldCharType="end"/>
      </w:r>
    </w:p>
    <w:p w14:paraId="0E210B44">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一 制度与信息传递</w:t>
      </w:r>
      <w:r>
        <w:tab/>
      </w:r>
      <w:r>
        <w:fldChar w:fldCharType="begin"/>
      </w:r>
      <w:r>
        <w:instrText xml:space="preserve"> PAGEREF _Toc242417943 \h </w:instrText>
      </w:r>
      <w:r>
        <w:fldChar w:fldCharType="separate"/>
      </w:r>
      <w:r>
        <w:t>17</w:t>
      </w:r>
      <w:r>
        <w:fldChar w:fldCharType="end"/>
      </w:r>
    </w:p>
    <w:p w14:paraId="24B9E4A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二 一线认知与风险判断</w:t>
      </w:r>
      <w:r>
        <w:tab/>
      </w:r>
      <w:r>
        <w:fldChar w:fldCharType="begin"/>
      </w:r>
      <w:r>
        <w:instrText xml:space="preserve"> PAGEREF _Toc242417944 \h </w:instrText>
      </w:r>
      <w:r>
        <w:fldChar w:fldCharType="separate"/>
      </w:r>
      <w:r>
        <w:t>20</w:t>
      </w:r>
      <w:r>
        <w:fldChar w:fldCharType="end"/>
      </w:r>
    </w:p>
    <w:p w14:paraId="0A86AACD">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三 三类服务结果是怎样产生的</w:t>
      </w:r>
      <w:r>
        <w:tab/>
      </w:r>
      <w:r>
        <w:fldChar w:fldCharType="begin"/>
      </w:r>
      <w:r>
        <w:instrText xml:space="preserve"> PAGEREF _Toc242417945 \h </w:instrText>
      </w:r>
      <w:r>
        <w:fldChar w:fldCharType="separate"/>
      </w:r>
      <w:r>
        <w:t>22</w:t>
      </w:r>
      <w:r>
        <w:fldChar w:fldCharType="end"/>
      </w:r>
    </w:p>
    <w:p w14:paraId="6B5327CD">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四 原因分析小结</w:t>
      </w:r>
      <w:r>
        <w:tab/>
      </w:r>
      <w:r>
        <w:fldChar w:fldCharType="begin"/>
      </w:r>
      <w:r>
        <w:instrText xml:space="preserve"> PAGEREF _Toc242417946 \h </w:instrText>
      </w:r>
      <w:r>
        <w:fldChar w:fldCharType="separate"/>
      </w:r>
      <w:r>
        <w:t>23</w:t>
      </w:r>
      <w:r>
        <w:fldChar w:fldCharType="end"/>
      </w:r>
    </w:p>
    <w:p w14:paraId="702ADF8D">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lang w:eastAsia="zh-CN"/>
        </w:rPr>
        <w:t>第三章 改进建议</w:t>
      </w:r>
      <w:r>
        <w:tab/>
      </w:r>
      <w:r>
        <w:fldChar w:fldCharType="begin"/>
      </w:r>
      <w:r>
        <w:instrText xml:space="preserve"> PAGEREF _Toc242417947 \h </w:instrText>
      </w:r>
      <w:r>
        <w:fldChar w:fldCharType="separate"/>
      </w:r>
      <w:r>
        <w:t>24</w:t>
      </w:r>
      <w:r>
        <w:fldChar w:fldCharType="end"/>
      </w:r>
    </w:p>
    <w:p w14:paraId="37CF1CA2">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一 法律依据与行动优先级</w:t>
      </w:r>
      <w:r>
        <w:tab/>
      </w:r>
      <w:r>
        <w:fldChar w:fldCharType="begin"/>
      </w:r>
      <w:r>
        <w:instrText xml:space="preserve"> PAGEREF _Toc242417948 \h </w:instrText>
      </w:r>
      <w:r>
        <w:fldChar w:fldCharType="separate"/>
      </w:r>
      <w:r>
        <w:t>24</w:t>
      </w:r>
      <w:r>
        <w:fldChar w:fldCharType="end"/>
      </w:r>
    </w:p>
    <w:p w14:paraId="1F8A48CC">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二 酒店集团总部</w:t>
      </w:r>
      <w:r>
        <w:tab/>
      </w:r>
      <w:r>
        <w:fldChar w:fldCharType="begin"/>
      </w:r>
      <w:r>
        <w:instrText xml:space="preserve"> PAGEREF _Toc242417949 \h </w:instrText>
      </w:r>
      <w:r>
        <w:fldChar w:fldCharType="separate"/>
      </w:r>
      <w:r>
        <w:t>25</w:t>
      </w:r>
      <w:r>
        <w:fldChar w:fldCharType="end"/>
      </w:r>
    </w:p>
    <w:p w14:paraId="17177AB3">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三 酒店门店</w:t>
      </w:r>
      <w:r>
        <w:tab/>
      </w:r>
      <w:r>
        <w:fldChar w:fldCharType="begin"/>
      </w:r>
      <w:r>
        <w:instrText xml:space="preserve"> PAGEREF _Toc242417950 \h </w:instrText>
      </w:r>
      <w:r>
        <w:fldChar w:fldCharType="separate"/>
      </w:r>
      <w:r>
        <w:t>26</w:t>
      </w:r>
      <w:r>
        <w:fldChar w:fldCharType="end"/>
      </w:r>
    </w:p>
    <w:p w14:paraId="7ACAEE87">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四 预订平台</w:t>
      </w:r>
      <w:r>
        <w:tab/>
      </w:r>
      <w:r>
        <w:fldChar w:fldCharType="begin"/>
      </w:r>
      <w:r>
        <w:instrText xml:space="preserve"> PAGEREF _Toc242417951 \h </w:instrText>
      </w:r>
      <w:r>
        <w:fldChar w:fldCharType="separate"/>
      </w:r>
      <w:r>
        <w:t>27</w:t>
      </w:r>
      <w:r>
        <w:fldChar w:fldCharType="end"/>
      </w:r>
    </w:p>
    <w:p w14:paraId="562DB883">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五 公共部门</w:t>
      </w:r>
      <w:r>
        <w:tab/>
      </w:r>
      <w:r>
        <w:fldChar w:fldCharType="begin"/>
      </w:r>
      <w:r>
        <w:instrText xml:space="preserve"> PAGEREF _Toc242417952 \h </w:instrText>
      </w:r>
      <w:r>
        <w:fldChar w:fldCharType="separate"/>
      </w:r>
      <w:r>
        <w:t>28</w:t>
      </w:r>
      <w:r>
        <w:fldChar w:fldCharType="end"/>
      </w:r>
    </w:p>
    <w:p w14:paraId="330C6304">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六 公众与行业组织</w:t>
      </w:r>
      <w:r>
        <w:tab/>
      </w:r>
      <w:r>
        <w:fldChar w:fldCharType="begin"/>
      </w:r>
      <w:r>
        <w:instrText xml:space="preserve"> PAGEREF _Toc242417953 \h </w:instrText>
      </w:r>
      <w:r>
        <w:fldChar w:fldCharType="separate"/>
      </w:r>
      <w:r>
        <w:t>28</w:t>
      </w:r>
      <w:r>
        <w:fldChar w:fldCharType="end"/>
      </w:r>
    </w:p>
    <w:p w14:paraId="7D3F59BB">
      <w:pPr>
        <w:pStyle w:val="28"/>
        <w:tabs>
          <w:tab w:val="right" w:leader="dot" w:pos="8948"/>
        </w:tabs>
        <w:rPr>
          <w:rFonts w:asciiTheme="minorHAnsi" w:hAnsiTheme="minorHAnsi" w:eastAsiaTheme="minorEastAsia"/>
          <w:color w:val="auto"/>
          <w:kern w:val="2"/>
          <w:sz w:val="22"/>
          <w:szCs w:val="24"/>
          <w:lang w:eastAsia="zh-CN"/>
          <w14:ligatures w14:val="standardContextual"/>
        </w:rPr>
      </w:pPr>
      <w:r>
        <w:t>附录</w:t>
      </w:r>
      <w:r>
        <w:tab/>
      </w:r>
      <w:r>
        <w:fldChar w:fldCharType="begin"/>
      </w:r>
      <w:r>
        <w:instrText xml:space="preserve"> PAGEREF _Toc242417954 \h </w:instrText>
      </w:r>
      <w:r>
        <w:fldChar w:fldCharType="separate"/>
      </w:r>
      <w:r>
        <w:t>30</w:t>
      </w:r>
      <w:r>
        <w:fldChar w:fldCharType="end"/>
      </w:r>
    </w:p>
    <w:p w14:paraId="02624D8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一 研究方法</w:t>
      </w:r>
      <w:r>
        <w:tab/>
      </w:r>
      <w:r>
        <w:fldChar w:fldCharType="begin"/>
      </w:r>
      <w:r>
        <w:instrText xml:space="preserve"> PAGEREF _Toc242417955 \h </w:instrText>
      </w:r>
      <w:r>
        <w:fldChar w:fldCharType="separate"/>
      </w:r>
      <w:r>
        <w:t>30</w:t>
      </w:r>
      <w:r>
        <w:fldChar w:fldCharType="end"/>
      </w:r>
    </w:p>
    <w:p w14:paraId="1043F70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二 测评指标与编码规则</w:t>
      </w:r>
      <w:r>
        <w:tab/>
      </w:r>
      <w:r>
        <w:fldChar w:fldCharType="begin"/>
      </w:r>
      <w:r>
        <w:instrText xml:space="preserve"> PAGEREF _Toc242417956 \h </w:instrText>
      </w:r>
      <w:r>
        <w:fldChar w:fldCharType="separate"/>
      </w:r>
      <w:r>
        <w:t>33</w:t>
      </w:r>
      <w:r>
        <w:fldChar w:fldCharType="end"/>
      </w:r>
    </w:p>
    <w:p w14:paraId="1A678A21">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三 数据来源与排名解释</w:t>
      </w:r>
      <w:r>
        <w:tab/>
      </w:r>
      <w:r>
        <w:fldChar w:fldCharType="begin"/>
      </w:r>
      <w:r>
        <w:instrText xml:space="preserve"> PAGEREF _Toc242417957 \h </w:instrText>
      </w:r>
      <w:r>
        <w:fldChar w:fldCharType="separate"/>
      </w:r>
      <w:r>
        <w:t>37</w:t>
      </w:r>
      <w:r>
        <w:fldChar w:fldCharType="end"/>
      </w:r>
    </w:p>
    <w:p w14:paraId="112AD747">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四 城市样本明细</w:t>
      </w:r>
      <w:r>
        <w:tab/>
      </w:r>
      <w:r>
        <w:fldChar w:fldCharType="begin"/>
      </w:r>
      <w:r>
        <w:instrText xml:space="preserve"> PAGEREF _Toc242417958 \h </w:instrText>
      </w:r>
      <w:r>
        <w:fldChar w:fldCharType="separate"/>
      </w:r>
      <w:r>
        <w:t>38</w:t>
      </w:r>
      <w:r>
        <w:fldChar w:fldCharType="end"/>
      </w:r>
    </w:p>
    <w:p w14:paraId="3391769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五 公众遇拒行动卡</w:t>
      </w:r>
      <w:r>
        <w:tab/>
      </w:r>
      <w:r>
        <w:fldChar w:fldCharType="begin"/>
      </w:r>
      <w:r>
        <w:instrText xml:space="preserve"> PAGEREF _Toc242417959 \h </w:instrText>
      </w:r>
      <w:r>
        <w:fldChar w:fldCharType="separate"/>
      </w:r>
      <w:r>
        <w:t>40</w:t>
      </w:r>
      <w:r>
        <w:fldChar w:fldCharType="end"/>
      </w:r>
    </w:p>
    <w:p w14:paraId="6E804B3C">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六 酒店操作工具</w:t>
      </w:r>
      <w:r>
        <w:tab/>
      </w:r>
      <w:r>
        <w:fldChar w:fldCharType="begin"/>
      </w:r>
      <w:r>
        <w:instrText xml:space="preserve"> PAGEREF _Toc242417960 \h </w:instrText>
      </w:r>
      <w:r>
        <w:fldChar w:fldCharType="separate"/>
      </w:r>
      <w:r>
        <w:t>41</w:t>
      </w:r>
      <w:r>
        <w:fldChar w:fldCharType="end"/>
      </w:r>
    </w:p>
    <w:p w14:paraId="4AD333B5">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七 后续研究方向</w:t>
      </w:r>
      <w:r>
        <w:tab/>
      </w:r>
      <w:r>
        <w:fldChar w:fldCharType="begin"/>
      </w:r>
      <w:r>
        <w:instrText xml:space="preserve"> PAGEREF _Toc242417961 \h </w:instrText>
      </w:r>
      <w:r>
        <w:fldChar w:fldCharType="separate"/>
      </w:r>
      <w:r>
        <w:t>46</w:t>
      </w:r>
      <w:r>
        <w:fldChar w:fldCharType="end"/>
      </w:r>
    </w:p>
    <w:p w14:paraId="23738AC9">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八 参考资料</w:t>
      </w:r>
      <w:r>
        <w:tab/>
      </w:r>
      <w:r>
        <w:fldChar w:fldCharType="begin"/>
      </w:r>
      <w:r>
        <w:instrText xml:space="preserve"> PAGEREF _Toc242417962 \h </w:instrText>
      </w:r>
      <w:r>
        <w:fldChar w:fldCharType="separate"/>
      </w:r>
      <w:r>
        <w:t>47</w:t>
      </w:r>
      <w:r>
        <w:fldChar w:fldCharType="end"/>
      </w:r>
    </w:p>
    <w:p w14:paraId="6020D9C1">
      <w:r>
        <w:fldChar w:fldCharType="end"/>
      </w:r>
    </w:p>
    <w:p w14:paraId="674EA7FD">
      <w:pPr>
        <w:pStyle w:val="3"/>
        <w:pageBreakBefore/>
      </w:pPr>
      <w:bookmarkStart w:id="0" w:name="_Toc242417901"/>
      <w:r>
        <w:t>研究缘起</w:t>
      </w:r>
      <w:bookmarkEnd w:id="0"/>
    </w:p>
    <w:p w14:paraId="1D91E73C">
      <w:pPr>
        <w:rPr>
          <w:rFonts w:hint="eastAsia"/>
        </w:rPr>
      </w:pPr>
      <w:r>
        <w:rPr>
          <w:rFonts w:hint="eastAsia"/>
        </w:rPr>
        <w:t>因出差或旅行预订酒店时，导盲犬使用者除了考虑价格、位置和房型，往往还必须提前确认酒店是否允许携犬入住。作为一家残障自组织研究机构，我们的团队成员与社群伙伴中不乏导盲犬使用者。在实际预订过程中，许多人习惯提前致电酒店前台，核实能否携犬入住及所需证明材料；遇到含糊或拒绝的答复，就要决定是继续解释残障者的出行权利、请上级负责人答复，还是另找酒店。即便在电话沟通中获得了酒店当值前台的允许，部分使用者到店后仍面临重新解释、等待核实，甚至现场被拒的困境。</w:t>
      </w:r>
    </w:p>
    <w:p w14:paraId="053E132E">
      <w:pPr>
        <w:rPr>
          <w:rFonts w:hint="eastAsia"/>
        </w:rPr>
      </w:pPr>
      <w:r>
        <w:rPr>
          <w:rFonts w:hint="eastAsia"/>
        </w:rPr>
        <w:t xml:space="preserve">2023年9月1日，《中华人民共和国无障碍环境建设法》正式施行，其第四十六条明确规定公共场所经营管理单位应当为残疾人携带导盲犬等服务犬提供便利。法律出台至今已届三年，条文的法定责任如何转化为可落地的行业规范，各方的推动与投入最终能否沉淀为残障者日常出行中的踏实体验，始终需要来自一线的</w:t>
      </w:r>
      <w:r>
        <w:rPr>
          <w:rFonts w:hint="eastAsia"/>
        </w:rPr>
        <w:t xml:space="preserve">检验。我们希望以残障者的</w:t>
      </w:r>
      <w:r>
        <w:rPr>
          <w:rFonts w:hint="eastAsia"/>
        </w:rPr>
        <w:t xml:space="preserve">亲身经验和</w:t>
      </w:r>
      <w:r>
        <w:rPr>
          <w:rFonts w:hint="eastAsia"/>
        </w:rPr>
        <w:t xml:space="preserve">日常体感为度量，呈现法律在</w:t>
      </w:r>
      <w:r>
        <w:rPr>
          <w:rFonts w:hint="eastAsia"/>
        </w:rPr>
        <w:t xml:space="preserve">运转中的</w:t>
      </w:r>
      <w:r>
        <w:rPr>
          <w:rFonts w:hint="eastAsia"/>
        </w:rPr>
        <w:t xml:space="preserve">落差，进而推动建设性的改善。为此，我们启动了这一基于残障者真实体感的无障碍测评系列。</w:t>
      </w:r>
    </w:p>
    <w:p w14:paraId="50F3F334">
      <w:pPr>
        <w:rPr>
          <w:rFonts w:hint="eastAsia"/>
        </w:rPr>
      </w:pPr>
      <w:r>
        <w:rPr>
          <w:rFonts w:hint="eastAsia"/>
        </w:rPr>
        <w:t xml:space="preserve">本项针对导盲犬酒店入住的专项调研，源于一次极具挫败感的经历。2023年，一位携带导盲犬的社群伙伴要来我们</w:t>
      </w:r>
      <w:r>
        <w:rPr>
          <w:rFonts w:hint="eastAsia"/>
        </w:rPr>
        <w:t xml:space="preserve">所在的城市</w:t>
      </w:r>
      <w:r>
        <w:rPr>
          <w:rFonts w:hint="eastAsia"/>
        </w:rPr>
        <w:t xml:space="preserve">出差，委托我们代订周边酒店。同事对</w:t>
      </w:r>
      <w:r>
        <w:rPr>
          <w:rFonts w:hint="eastAsia"/>
        </w:rPr>
        <w:t xml:space="preserve">照</w:t>
      </w:r>
      <w:r>
        <w:rPr>
          <w:rFonts w:hint="eastAsia"/>
        </w:rPr>
        <w:t xml:space="preserve">预订平台上的信息</w:t>
      </w:r>
      <w:r>
        <w:rPr>
          <w:rFonts w:hint="eastAsia"/>
        </w:rPr>
        <w:t xml:space="preserve">，一家家打电话</w:t>
      </w:r>
      <w:r>
        <w:rPr>
          <w:rFonts w:hint="eastAsia"/>
        </w:rPr>
        <w:t xml:space="preserve">向前台核实，直到拨通第二十家酒店的电话，才终于得到一句允许入住的答复。二十通电话里反复出现的犹豫、推诿与回绝，让团队在深感荒唐之余，意识到这并非偶发的个案，而是一套系统性的阻碍。为了摸清问题究竟卡在哪里、为后续的行业倡导寻找切实抓手，团队于2023年11月随即启动了第一阶段调研，计划对全国30座城市、10个主流经济型与中端连锁酒店品牌开展电话抽样调查。</w:t>
      </w:r>
    </w:p>
    <w:p w14:paraId="54AEC0C6">
      <w:pPr>
        <w:rPr>
          <w:rFonts w:hint="eastAsia"/>
        </w:rPr>
      </w:pPr>
      <w:r>
        <w:rPr>
          <w:rFonts w:hint="eastAsia"/>
        </w:rPr>
        <w:t xml:space="preserve">然而，调查的推进远比预想的沉重。到2024年1月，当团队刚刚完成第七座城市的样本采集时，调研陷入了停滞。几乎每通电话都要经历反复的确认、解释与落空，一线门店所展现出的脱节与规则空白，让参与拨打电话的伙伴们</w:t>
      </w:r>
      <w:r>
        <w:rPr>
          <w:rFonts w:hint="eastAsia"/>
        </w:rPr>
        <w:t xml:space="preserve">深感无力；视障伙伴心力交瘁，也在</w:t>
      </w:r>
      <w:r>
        <w:rPr>
          <w:rFonts w:hint="eastAsia"/>
        </w:rPr>
        <w:t xml:space="preserve">使命感与现实阻力之间</w:t>
      </w:r>
      <w:r>
        <w:rPr>
          <w:rFonts w:hint="eastAsia"/>
        </w:rPr>
        <w:t xml:space="preserve">挣扎。面对如此普遍且固化的行业惯性，我们记录下的这一笔笔数据，究竟能在多大程度上撬动真正的改变？带着这份未能完成预定目标的遗憾与困惑，调研被暂时搁置了下来。</w:t>
      </w:r>
    </w:p>
    <w:p w14:paraId="1E0FFD5B">
      <w:pPr>
        <w:rPr>
          <w:rFonts w:hint="eastAsia"/>
        </w:rPr>
      </w:pPr>
      <w:r>
        <w:rPr>
          <w:rFonts w:hint="eastAsia"/>
        </w:rPr>
        <w:t xml:space="preserve">转机出现在2025年5月。B站视障UP主“诺子喵呜”携带导盲犬入住酒店被拒的经历在网络上引发广泛关注，并在巨大的舆论压力下促成了涉事门店的公开致歉。这起由舆论聚焦推动的标志性个案促使我们重新审视未完成的调研：媒体与公众的短暂聚焦，是否真的撬动了一线门店接待机制的实质改变？舆论热度消退之后，普通导盲犬使用者推开一家酒店大门的真实阻力是否有所消解？带着这种追问，也为了探寻舆论事件前后行业接待生态的动态变化，我们于2025年6月重启了搁置的调研，将此前未完成的城市样本完整补齐。前后两期的</w:t>
      </w:r>
      <w:r>
        <w:rPr>
          <w:rFonts w:hint="eastAsia"/>
        </w:rPr>
        <w:t xml:space="preserve">调查，也让我们能对照两个时期的情况；不过两批覆盖的城市不同，比较时需要谨慎（见附录一（三））</w:t>
      </w:r>
      <w:r>
        <w:rPr>
          <w:rFonts w:hint="eastAsia"/>
        </w:rPr>
        <w:t xml:space="preserve">。</w:t>
      </w:r>
    </w:p>
    <w:p w14:paraId="09265538">
      <w:pPr>
        <w:rPr>
          <w:rFonts w:hint="eastAsia"/>
        </w:rPr>
      </w:pPr>
      <w:r>
        <w:rPr>
          <w:rFonts w:hint="eastAsia"/>
        </w:rPr>
        <w:t xml:space="preserve">在推进过程中，本项调研得到了长期致力于推动商业无障碍与融合切实落地的“一加一融合加速器”，以及深耕视障自主生活领域的专业品牌“金盲杖自立生活”两家机构提供的行业专业支持。在学术规范与调研方法上，</w:t>
      </w:r>
      <w:r>
        <w:rPr>
          <w:rFonts w:hint="eastAsia"/>
        </w:rPr>
        <w:t xml:space="preserve">团队</w:t>
      </w:r>
      <w:r>
        <w:rPr>
          <w:rFonts w:hint="eastAsia"/>
        </w:rPr>
        <w:t xml:space="preserve">得到了南京大学新闻传播学院谢卓潇老师的学术指导</w:t>
      </w:r>
      <w:r>
        <w:rPr>
          <w:rFonts w:hint="eastAsia"/>
        </w:rPr>
        <w:t xml:space="preserve">；</w:t>
      </w:r>
      <w:r>
        <w:rPr>
          <w:rFonts w:hint="eastAsia"/>
        </w:rPr>
        <w:t xml:space="preserve">在其博士生柳嘉慜的支持协调下，</w:t>
      </w:r>
      <w:r>
        <w:rPr>
          <w:rFonts w:hint="eastAsia"/>
        </w:rPr>
        <w:t xml:space="preserve">团队</w:t>
      </w:r>
      <w:r>
        <w:rPr>
          <w:rFonts w:hint="eastAsia"/>
        </w:rPr>
        <w:t xml:space="preserve">与</w:t>
      </w:r>
      <w:r>
        <w:rPr>
          <w:rFonts w:hint="eastAsia"/>
        </w:rPr>
        <w:t xml:space="preserve">残障伙伴李娜等人共同完成了从抽样测试到报告撰写的全过程。此外，为了确保调研问题贴合日常、分析结论扎实客观、改善建议切实可行，团队在调研设计与报告成稿的各个节点，均邀请了</w:t>
      </w:r>
      <w:r>
        <w:t xml:space="preserve">范仔伟、黄跃红、</w:t>
      </w:r>
      <w:r>
        <w:t xml:space="preserve">贾文杰、</w:t>
      </w:r>
      <w:r>
        <w:t xml:space="preserve">王</w:t>
      </w:r>
      <w:r>
        <w:t xml:space="preserve">志华、肖佳、周彤</w:t>
      </w:r>
      <w:r>
        <w:t xml:space="preserve">等资深导盲犬使用者和社群伙伴</w:t>
      </w:r>
      <w:r>
        <w:rPr>
          <w:rFonts w:hint="eastAsia"/>
        </w:rPr>
        <w:t xml:space="preserve">参与讨论并提供关键反馈</w:t>
      </w:r>
      <w:r>
        <w:rPr>
          <w:rFonts w:hint="eastAsia"/>
        </w:rPr>
        <w:t xml:space="preserve">，在此一并致谢。</w:t>
      </w:r>
    </w:p>
    <w:p w14:paraId="29579A06">
      <w:pPr>
        <w:rPr>
          <w:rFonts w:hint="eastAsia"/>
        </w:rPr>
      </w:pPr>
      <w:r>
        <w:rPr>
          <w:rFonts w:hint="eastAsia"/>
        </w:rPr>
        <w:t xml:space="preserve">这项调查分两个阶段完成，我们主要关注三个</w:t>
      </w:r>
      <w:r>
        <w:rPr>
          <w:rFonts w:hint="eastAsia"/>
        </w:rPr>
        <w:t xml:space="preserve">问题：</w:t>
      </w:r>
    </w:p>
    <w:p w14:paraId="5E2A4BD7">
      <w:pPr>
        <w:numPr>
          <w:ilvl w:val="0"/>
          <w:numId w:val="2"/>
        </w:numPr>
        <w:tabs>
          <w:tab w:val="left" w:pos="540"/>
        </w:tabs>
        <w:ind w:left="540" w:hanging="270"/>
        <w:rPr>
          <w:rFonts w:hint="eastAsia"/>
        </w:rPr>
      </w:pPr>
      <w:r>
        <w:rPr>
          <w:rFonts w:hint="eastAsia"/>
        </w:rPr>
        <w:t xml:space="preserve">酒店一线员工能否给出明确接纳的答复？</w:t>
      </w:r>
    </w:p>
    <w:p w14:paraId="60CF849F">
      <w:pPr>
        <w:numPr>
          <w:ilvl w:val="0"/>
          <w:numId w:val="2"/>
        </w:numPr>
        <w:tabs>
          <w:tab w:val="left" w:pos="540"/>
        </w:tabs>
        <w:ind w:left="540" w:hanging="270"/>
        <w:rPr>
          <w:rFonts w:hint="eastAsia"/>
        </w:rPr>
      </w:pPr>
      <w:r>
        <w:rPr>
          <w:rFonts w:hint="eastAsia"/>
        </w:rPr>
        <w:t xml:space="preserve">使用者需要经历多少次周折、承担多少解释与沟通成本？</w:t>
      </w:r>
    </w:p>
    <w:p w14:paraId="7B4ADA07">
      <w:pPr>
        <w:numPr>
          <w:ilvl w:val="0"/>
          <w:numId w:val="2"/>
        </w:numPr>
        <w:tabs>
          <w:tab w:val="left" w:pos="540"/>
        </w:tabs>
        <w:ind w:left="540" w:hanging="270"/>
        <w:rPr>
          <w:rFonts w:hint="eastAsia"/>
        </w:rPr>
      </w:pPr>
      <w:r>
        <w:rPr>
          <w:rFonts w:hint="eastAsia"/>
        </w:rPr>
        <w:t xml:space="preserve">在同意接待的门店中，又额外提出了哪些其他住客不必面对的前提条件？</w:t>
      </w:r>
    </w:p>
    <w:p w14:paraId="55EB0C61">
      <w:pPr>
        <w:rPr>
          <w:rFonts w:hint="eastAsia"/>
        </w:rPr>
      </w:pPr>
      <w:r>
        <w:rPr>
          <w:rFonts w:hint="eastAsia"/>
        </w:rPr>
        <w:t>本次调查共记录782次独立通话，获取了558家门店的有效反馈（样本形成过程详见附录一（一））。主要结果归纳如下：</w:t>
      </w:r>
    </w:p>
    <w:p w14:paraId="180DD8A7">
      <w:pPr>
        <w:pStyle w:val="3"/>
        <w:pageBreakBefore/>
      </w:pPr>
      <w:bookmarkStart w:id="1" w:name="_Toc242417902"/>
      <w:r>
        <w:t>主要</w:t>
      </w:r>
      <w:r>
        <w:rPr>
          <w:rFonts w:hint="eastAsia" w:ascii="微软雅黑" w:hAnsi="微软雅黑" w:eastAsia="微软雅黑" w:cs="微软雅黑"/>
        </w:rPr>
        <w:t>发现</w:t>
      </w:r>
      <w:bookmarkEnd w:id="1"/>
    </w:p>
    <w:p w14:paraId="663D2BFF">
      <w:pPr>
        <w:keepLines/>
        <w:rPr>
          <w:rFonts w:hint="eastAsia"/>
        </w:rPr>
      </w:pPr>
      <w:r>
        <w:rPr>
          <w:rFonts w:hint="eastAsia"/>
        </w:rPr>
        <w:t>558家门店中，八成以上最终同意接待，但只有约一半在第一次询问时就明确同意；同意之后，仍有不少门店附加了条件。样本以预订平台上较受欢迎的门店为主，其他门店的情况可能更不乐观（见附录一（一））。</w:t>
      </w:r>
    </w:p>
    <w:p w14:paraId="50A3F82D">
      <w:pPr>
        <w:keepNext/>
        <w:spacing w:before="160" w:after="80" w:line="276" w:lineRule="auto"/>
        <w:ind w:firstLine="0" w:firstLineChars="0"/>
        <w:jc w:val="left"/>
      </w:pPr>
      <w:r>
        <w:rPr>
          <w:rFonts w:ascii="Aptos" w:hAnsi="Aptos" w:eastAsia="微软雅黑" w:cs="Arial"/>
          <w:b/>
          <w:bCs/>
          <w:color w:val="1B1C1D"/>
          <w:sz w:val="22"/>
          <w:szCs w:val="22"/>
        </w:rPr>
        <w:t>558家门店的最终答复</w:t>
      </w: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0" w:type="dxa"/>
          <w:left w:w="0" w:type="dxa"/>
          <w:bottom w:w="0" w:type="dxa"/>
          <w:right w:w="0" w:type="dxa"/>
        </w:tblCellMar>
      </w:tblPr>
      <w:tblGrid>
        <w:gridCol w:w="6083"/>
        <w:gridCol w:w="1380"/>
        <w:gridCol w:w="1495"/>
      </w:tblGrid>
      <w:tr w14:paraId="3E13F63C">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0" w:type="dxa"/>
            <w:left w:w="0" w:type="dxa"/>
            <w:bottom w:w="0" w:type="dxa"/>
            <w:right w:w="0" w:type="dxa"/>
          </w:tblCellMar>
        </w:tblPrEx>
        <w:trPr>
          <w:cantSplit/>
          <w:trHeight w:val="300" w:hRule="exact"/>
          <w:jc w:val="center"/>
        </w:trPr>
        <w:tc>
          <w:tcPr>
            <w:tcW w:w="6083" w:type="dxa"/>
            <w:shd w:val="clear" w:color="auto" w:fill="2E7D5B"/>
            <w:tcMar>
              <w:top w:w="0" w:type="dxa"/>
              <w:left w:w="0" w:type="dxa"/>
              <w:bottom w:w="0" w:type="dxa"/>
              <w:right w:w="0" w:type="dxa"/>
            </w:tcMar>
            <w:vAlign w:val="center"/>
          </w:tcPr>
          <w:p w14:paraId="363EB79D">
            <w:pPr>
              <w:spacing w:before="0" w:after="0" w:line="240" w:lineRule="auto"/>
              <w:ind w:firstLine="0" w:firstLineChars="0"/>
              <w:jc w:val="left"/>
            </w:pPr>
            <w:r>
              <w:rPr>
                <w:rFonts w:ascii="Aptos" w:hAnsi="Aptos" w:eastAsia="微软雅黑" w:cs="Arial"/>
                <w:color w:val="333333"/>
                <w:sz w:val="4"/>
                <w:szCs w:val="4"/>
              </w:rPr>
              <w:t xml:space="preserve"> </w:t>
            </w:r>
          </w:p>
        </w:tc>
        <w:tc>
          <w:tcPr>
            <w:tcW w:w="1380" w:type="dxa"/>
            <w:shd w:val="clear" w:color="auto" w:fill="D99A2B"/>
            <w:tcMar>
              <w:top w:w="0" w:type="dxa"/>
              <w:left w:w="0" w:type="dxa"/>
              <w:bottom w:w="0" w:type="dxa"/>
              <w:right w:w="0" w:type="dxa"/>
            </w:tcMar>
            <w:vAlign w:val="center"/>
          </w:tcPr>
          <w:p w14:paraId="63D80B5E">
            <w:pPr>
              <w:spacing w:before="0" w:after="0" w:line="240" w:lineRule="auto"/>
              <w:ind w:firstLine="0" w:firstLineChars="0"/>
              <w:jc w:val="left"/>
            </w:pPr>
            <w:r>
              <w:rPr>
                <w:rFonts w:ascii="Aptos" w:hAnsi="Aptos" w:eastAsia="微软雅黑" w:cs="Arial"/>
                <w:color w:val="333333"/>
                <w:sz w:val="4"/>
                <w:szCs w:val="4"/>
              </w:rPr>
              <w:t xml:space="preserve"> </w:t>
            </w:r>
          </w:p>
        </w:tc>
        <w:tc>
          <w:tcPr>
            <w:tcW w:w="1495" w:type="dxa"/>
            <w:shd w:val="clear" w:color="auto" w:fill="C94F4F"/>
            <w:tcMar>
              <w:top w:w="0" w:type="dxa"/>
              <w:left w:w="0" w:type="dxa"/>
              <w:bottom w:w="0" w:type="dxa"/>
              <w:right w:w="0" w:type="dxa"/>
            </w:tcMar>
            <w:vAlign w:val="center"/>
          </w:tcPr>
          <w:p w14:paraId="0547CBB3">
            <w:pPr>
              <w:spacing w:before="0" w:after="0" w:line="240" w:lineRule="auto"/>
              <w:ind w:firstLine="0" w:firstLineChars="0"/>
              <w:jc w:val="left"/>
            </w:pPr>
            <w:r>
              <w:rPr>
                <w:rFonts w:ascii="Aptos" w:hAnsi="Aptos" w:eastAsia="微软雅黑" w:cs="Arial"/>
                <w:color w:val="333333"/>
                <w:sz w:val="4"/>
                <w:szCs w:val="4"/>
              </w:rPr>
              <w:t xml:space="preserve"> </w:t>
            </w:r>
          </w:p>
        </w:tc>
      </w:tr>
    </w:tbl>
    <w:p w14:paraId="75EE1F33">
      <w:pPr>
        <w:spacing w:before="60" w:after="0" w:line="260" w:lineRule="auto"/>
        <w:ind w:firstLine="0" w:firstLineChars="0"/>
        <w:jc w:val="left"/>
      </w:pPr>
      <w:r>
        <w:rPr>
          <w:rFonts w:ascii="Aptos" w:hAnsi="Aptos" w:eastAsia="微软雅黑" w:cs="Arial"/>
          <w:color w:val="2E7D5B"/>
          <w:sz w:val="20"/>
          <w:szCs w:val="20"/>
        </w:rPr>
        <w:t xml:space="preserve">■ </w:t>
      </w:r>
      <w:r>
        <w:rPr>
          <w:rFonts w:ascii="Aptos" w:hAnsi="Aptos" w:eastAsia="微软雅黑" w:cs="Arial"/>
          <w:color w:val="444444"/>
          <w:sz w:val="18"/>
          <w:szCs w:val="18"/>
        </w:rPr>
        <w:t xml:space="preserve">无附</w:t>
      </w:r>
      <w:r>
        <w:rPr>
          <w:rFonts w:ascii="Aptos" w:hAnsi="Aptos" w:eastAsia="微软雅黑" w:cs="Arial"/>
          <w:color w:val="444444"/>
          <w:sz w:val="18"/>
          <w:szCs w:val="18"/>
        </w:rPr>
        <w:t xml:space="preserve">带</w:t>
      </w:r>
      <w:r>
        <w:rPr>
          <w:rFonts w:ascii="Aptos" w:hAnsi="Aptos" w:eastAsia="微软雅黑" w:cs="Arial"/>
          <w:color w:val="444444"/>
          <w:sz w:val="18"/>
          <w:szCs w:val="18"/>
        </w:rPr>
        <w:t xml:space="preserve">条件接纳 </w:t>
      </w:r>
      <w:r>
        <w:rPr>
          <w:rFonts w:ascii="Aptos" w:hAnsi="Aptos" w:eastAsia="微软雅黑" w:cs="Arial"/>
          <w:b/>
          <w:bCs/>
          <w:color w:val="2E7D5B"/>
          <w:sz w:val="18"/>
          <w:szCs w:val="18"/>
        </w:rPr>
        <w:t xml:space="preserve">67.9%</w:t>
      </w:r>
      <w:r>
        <w:rPr>
          <w:rFonts w:ascii="Aptos" w:hAnsi="Aptos" w:eastAsia="微软雅黑" w:cs="Arial"/>
          <w:b/>
          <w:bCs/>
          <w:color w:val="2E7D5B"/>
          <w:sz w:val="18"/>
          <w:szCs w:val="18"/>
        </w:rPr>
        <w:t xml:space="preserve">（379家）</w:t>
      </w:r>
      <w:r>
        <w:rPr>
          <w:rFonts w:ascii="Aptos" w:hAnsi="Aptos" w:eastAsia="微软雅黑" w:cs="Arial"/>
          <w:color w:val="333333"/>
          <w:sz w:val="18"/>
          <w:szCs w:val="18"/>
        </w:rPr>
        <w:t>　　</w:t>
      </w:r>
      <w:r>
        <w:rPr>
          <w:rFonts w:ascii="Aptos" w:hAnsi="Aptos" w:eastAsia="微软雅黑" w:cs="Arial"/>
          <w:color w:val="D99A2B"/>
          <w:sz w:val="20"/>
          <w:szCs w:val="20"/>
        </w:rPr>
        <w:t xml:space="preserve">■ </w:t>
      </w:r>
      <w:r>
        <w:rPr>
          <w:rFonts w:ascii="Aptos" w:hAnsi="Aptos" w:eastAsia="微软雅黑" w:cs="Arial"/>
          <w:color w:val="444444"/>
          <w:sz w:val="18"/>
          <w:szCs w:val="18"/>
        </w:rPr>
        <w:t xml:space="preserve">附带条件接纳 </w:t>
      </w:r>
      <w:r>
        <w:rPr>
          <w:rFonts w:ascii="Aptos" w:hAnsi="Aptos" w:eastAsia="微软雅黑" w:cs="Arial"/>
          <w:b/>
          <w:bCs/>
          <w:color w:val="A86B12"/>
          <w:sz w:val="18"/>
          <w:szCs w:val="18"/>
        </w:rPr>
        <w:t>15.4%（86家）</w:t>
      </w:r>
      <w:r>
        <w:rPr>
          <w:rFonts w:ascii="Aptos" w:hAnsi="Aptos" w:eastAsia="微软雅黑" w:cs="Arial"/>
          <w:color w:val="333333"/>
          <w:sz w:val="18"/>
          <w:szCs w:val="18"/>
        </w:rPr>
        <w:t>　　</w:t>
      </w:r>
      <w:r>
        <w:rPr>
          <w:rFonts w:ascii="Aptos" w:hAnsi="Aptos" w:eastAsia="微软雅黑" w:cs="Arial"/>
          <w:color w:val="C94F4F"/>
          <w:sz w:val="20"/>
          <w:szCs w:val="20"/>
        </w:rPr>
        <w:t xml:space="preserve">■ </w:t>
      </w:r>
      <w:r>
        <w:rPr>
          <w:rFonts w:ascii="Aptos" w:hAnsi="Aptos" w:eastAsia="微软雅黑" w:cs="Arial"/>
          <w:color w:val="444444"/>
          <w:sz w:val="18"/>
          <w:szCs w:val="18"/>
        </w:rPr>
        <w:t xml:space="preserve">最终拒绝 </w:t>
      </w:r>
      <w:r>
        <w:rPr>
          <w:rFonts w:ascii="Aptos" w:hAnsi="Aptos" w:eastAsia="微软雅黑" w:cs="Arial"/>
          <w:b/>
          <w:bCs/>
          <w:color w:val="C94F4F"/>
          <w:sz w:val="18"/>
          <w:szCs w:val="18"/>
        </w:rPr>
        <w:t>16.7%（93家）</w:t>
      </w:r>
      <w:r>
        <w:rPr>
          <w:rFonts w:ascii="Aptos" w:hAnsi="Aptos" w:eastAsia="微软雅黑" w:cs="Arial"/>
          <w:color w:val="333333"/>
          <w:sz w:val="18"/>
          <w:szCs w:val="18"/>
        </w:rPr>
        <w:t>　　</w:t>
      </w:r>
    </w:p>
    <w:p w14:paraId="3490AC2D">
      <w:pPr>
        <w:spacing w:before="0" w:after="0" w:line="16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2150"/>
        <w:gridCol w:w="6808"/>
      </w:tblGrid>
      <w:tr w14:paraId="13F55825">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2150" w:type="dxa"/>
            <w:tcBorders>
              <w:top w:val="single" w:color="D5DCE6" w:sz="4" w:space="0"/>
              <w:left w:val="single" w:color="2E7D5B" w:sz="36" w:space="0"/>
              <w:bottom w:val="single" w:color="D5DCE6" w:sz="4" w:space="0"/>
              <w:right w:val="nil"/>
            </w:tcBorders>
            <w:shd w:val="clear" w:color="auto" w:fill="E7F2EC"/>
            <w:tcMar>
              <w:top w:w="100" w:type="dxa"/>
              <w:left w:w="120" w:type="dxa"/>
              <w:bottom w:w="100" w:type="dxa"/>
              <w:right w:w="120" w:type="dxa"/>
            </w:tcMar>
            <w:vAlign w:val="center"/>
          </w:tcPr>
          <w:p w14:paraId="2BC14DDC">
            <w:pPr>
              <w:spacing w:before="0" w:after="20" w:line="240" w:lineRule="auto"/>
              <w:ind w:firstLine="0" w:firstLineChars="0"/>
              <w:jc w:val="center"/>
            </w:pPr>
            <w:r>
              <w:rPr>
                <w:rFonts w:ascii="Aptos" w:hAnsi="Aptos" w:eastAsia="微软雅黑" w:cs="Arial"/>
                <w:b/>
                <w:bCs/>
                <w:color w:val="2E7D5B"/>
                <w:sz w:val="52"/>
                <w:szCs w:val="52"/>
              </w:rPr>
              <w:t>83.3%</w:t>
            </w:r>
          </w:p>
          <w:p w14:paraId="04C90F7C">
            <w:pPr>
              <w:spacing w:before="0" w:after="0" w:line="240" w:lineRule="auto"/>
              <w:ind w:firstLine="0" w:firstLineChars="0"/>
              <w:jc w:val="center"/>
            </w:pPr>
            <w:r>
              <w:rPr>
                <w:rFonts w:ascii="Aptos" w:hAnsi="Aptos" w:eastAsia="微软雅黑" w:cs="Arial"/>
                <w:color w:val="444444"/>
                <w:sz w:val="17"/>
                <w:szCs w:val="17"/>
              </w:rPr>
              <w:t>最终接纳率</w:t>
            </w:r>
          </w:p>
        </w:tc>
        <w:tc>
          <w:tcPr>
            <w:tcW w:w="6808" w:type="dxa"/>
            <w:tcBorders>
              <w:top w:val="single" w:color="D5DCE6" w:sz="4" w:space="0"/>
              <w:left w:val="nil"/>
              <w:bottom w:val="single" w:color="D5DCE6" w:sz="4" w:space="0"/>
              <w:right w:val="single" w:color="D5DCE6" w:sz="4" w:space="0"/>
            </w:tcBorders>
            <w:shd w:val="clear" w:color="auto" w:fill="FFFFFF"/>
            <w:tcMar>
              <w:top w:w="110" w:type="dxa"/>
              <w:left w:w="220" w:type="dxa"/>
              <w:bottom w:w="110" w:type="dxa"/>
              <w:right w:w="200" w:type="dxa"/>
            </w:tcMar>
            <w:vAlign w:val="center"/>
          </w:tcPr>
          <w:p w14:paraId="7AD581A1">
            <w:pPr>
              <w:spacing w:before="0" w:after="40" w:line="280" w:lineRule="auto"/>
              <w:ind w:firstLine="0" w:firstLineChars="0"/>
              <w:jc w:val="left"/>
            </w:pPr>
            <w:r>
              <w:rPr>
                <w:rFonts w:ascii="Aptos" w:hAnsi="Aptos" w:eastAsia="微软雅黑" w:cs="Arial"/>
                <w:b/>
                <w:bCs/>
                <w:color w:val="1B1C1D"/>
                <w:sz w:val="23"/>
                <w:szCs w:val="23"/>
              </w:rPr>
              <w:t>465家最终接纳，287家第一轮直接同意</w:t>
            </w:r>
          </w:p>
          <w:p w14:paraId="3A334DB9">
            <w:pPr>
              <w:spacing w:before="0" w:after="0" w:line="290" w:lineRule="auto"/>
              <w:ind w:firstLine="0" w:firstLineChars="0"/>
              <w:jc w:val="left"/>
            </w:pPr>
            <w:r>
              <w:rPr>
                <w:rFonts w:ascii="Aptos" w:hAnsi="Aptos" w:eastAsia="微软雅黑" w:cs="Arial"/>
                <w:color w:val="333333"/>
                <w:sz w:val="19"/>
                <w:szCs w:val="19"/>
              </w:rPr>
              <w:t>最终接纳率为83.3%，直接同意率为51.4%。另有178家在进一步解释或酒店内部确认后同意。</w:t>
            </w:r>
          </w:p>
        </w:tc>
      </w:tr>
    </w:tbl>
    <w:p w14:paraId="07C361A8">
      <w:pPr>
        <w:spacing w:before="0" w:after="0" w:line="12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2150"/>
        <w:gridCol w:w="6808"/>
      </w:tblGrid>
      <w:tr w14:paraId="53A479BD">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2150" w:type="dxa"/>
            <w:tcBorders>
              <w:top w:val="single" w:color="D5DCE6" w:sz="4" w:space="0"/>
              <w:left w:val="single" w:color="C94F4F" w:sz="36" w:space="0"/>
              <w:bottom w:val="single" w:color="D5DCE6" w:sz="4" w:space="0"/>
              <w:right w:val="nil"/>
            </w:tcBorders>
            <w:shd w:val="clear" w:color="auto" w:fill="F8E8E8"/>
            <w:tcMar>
              <w:top w:w="100" w:type="dxa"/>
              <w:left w:w="120" w:type="dxa"/>
              <w:bottom w:w="100" w:type="dxa"/>
              <w:right w:w="120" w:type="dxa"/>
            </w:tcMar>
            <w:vAlign w:val="center"/>
          </w:tcPr>
          <w:p w14:paraId="176AAFEA">
            <w:pPr>
              <w:spacing w:before="0" w:after="20" w:line="240" w:lineRule="auto"/>
              <w:ind w:firstLine="0" w:firstLineChars="0"/>
              <w:jc w:val="center"/>
            </w:pPr>
            <w:r>
              <w:rPr>
                <w:rFonts w:ascii="Aptos" w:hAnsi="Aptos" w:eastAsia="微软雅黑" w:cs="Arial"/>
                <w:b/>
                <w:bCs/>
                <w:color w:val="C94F4F"/>
                <w:sz w:val="52"/>
                <w:szCs w:val="52"/>
              </w:rPr>
              <w:t>16.7%</w:t>
            </w:r>
          </w:p>
          <w:p w14:paraId="5F4EAD02">
            <w:pPr>
              <w:spacing w:before="0" w:after="0" w:line="240" w:lineRule="auto"/>
              <w:ind w:firstLine="0" w:firstLineChars="0"/>
              <w:jc w:val="center"/>
            </w:pPr>
            <w:r>
              <w:rPr>
                <w:rFonts w:ascii="Aptos" w:hAnsi="Aptos" w:eastAsia="微软雅黑" w:cs="Arial"/>
                <w:color w:val="444444"/>
                <w:sz w:val="17"/>
                <w:szCs w:val="17"/>
              </w:rPr>
              <w:t>最终拒绝率</w:t>
            </w:r>
          </w:p>
        </w:tc>
        <w:tc>
          <w:tcPr>
            <w:tcW w:w="6808" w:type="dxa"/>
            <w:tcBorders>
              <w:top w:val="single" w:color="D5DCE6" w:sz="4" w:space="0"/>
              <w:left w:val="nil"/>
              <w:bottom w:val="single" w:color="D5DCE6" w:sz="4" w:space="0"/>
              <w:right w:val="single" w:color="D5DCE6" w:sz="4" w:space="0"/>
            </w:tcBorders>
            <w:shd w:val="clear" w:color="auto" w:fill="FFFFFF"/>
            <w:tcMar>
              <w:top w:w="110" w:type="dxa"/>
              <w:left w:w="220" w:type="dxa"/>
              <w:bottom w:w="110" w:type="dxa"/>
              <w:right w:w="200" w:type="dxa"/>
            </w:tcMar>
            <w:vAlign w:val="center"/>
          </w:tcPr>
          <w:p w14:paraId="1F3EB418">
            <w:pPr>
              <w:spacing w:before="0" w:after="40" w:line="280" w:lineRule="auto"/>
              <w:ind w:firstLine="0" w:firstLineChars="0"/>
              <w:jc w:val="left"/>
            </w:pPr>
            <w:r>
              <w:rPr>
                <w:rFonts w:ascii="Aptos" w:hAnsi="Aptos" w:eastAsia="微软雅黑" w:cs="Arial"/>
                <w:b/>
                <w:bCs/>
                <w:color w:val="1B1C1D"/>
                <w:sz w:val="23"/>
                <w:szCs w:val="23"/>
              </w:rPr>
              <w:t>93家最终拒绝，占16.7%</w:t>
            </w:r>
          </w:p>
          <w:p w14:paraId="79B8B912">
            <w:pPr>
              <w:spacing w:before="0" w:after="0" w:line="290" w:lineRule="auto"/>
              <w:ind w:firstLine="0" w:firstLineChars="0"/>
              <w:jc w:val="left"/>
            </w:pPr>
            <w:r>
              <w:rPr>
                <w:rFonts w:ascii="Aptos" w:hAnsi="Aptos" w:eastAsia="微软雅黑" w:cs="Arial"/>
                <w:color w:val="333333"/>
                <w:sz w:val="19"/>
                <w:szCs w:val="19"/>
              </w:rPr>
              <w:t xml:space="preserve">46家</w:t>
            </w:r>
            <w:r>
              <w:rPr>
                <w:rFonts w:ascii="Aptos" w:hAnsi="Aptos" w:eastAsia="微软雅黑" w:cs="Arial"/>
                <w:color w:val="333333"/>
                <w:sz w:val="19"/>
                <w:szCs w:val="19"/>
              </w:rPr>
              <w:t xml:space="preserve">在第一次询问时直接拒绝；另有47家，在咨询者</w:t>
            </w:r>
            <w:r>
              <w:rPr>
                <w:rFonts w:hint="eastAsia" w:eastAsia="微软雅黑" w:cs="Arial"/>
                <w:color w:val="333333"/>
                <w:sz w:val="19"/>
                <w:szCs w:val="19"/>
                <w:lang w:val="en-US" w:eastAsia="zh-CN"/>
              </w:rPr>
              <w:t xml:space="preserve">解释、等待或</w:t>
            </w:r>
            <w:r>
              <w:rPr>
                <w:rFonts w:hint="eastAsia" w:eastAsia="微软雅黑" w:cs="Arial"/>
                <w:color w:val="333333"/>
                <w:sz w:val="19"/>
                <w:szCs w:val="19"/>
                <w:lang w:val="en-US" w:eastAsia="zh-CN"/>
              </w:rPr>
              <w:t xml:space="preserve">联系酒店上级，付出额外</w:t>
            </w:r>
            <w:r>
              <w:rPr>
                <w:rFonts w:hint="eastAsia" w:eastAsia="微软雅黑" w:cs="Arial"/>
                <w:color w:val="333333"/>
                <w:sz w:val="19"/>
                <w:szCs w:val="19"/>
                <w:lang w:val="en-US" w:eastAsia="zh-CN"/>
              </w:rPr>
              <w:t xml:space="preserve">的</w:t>
            </w:r>
            <w:r>
              <w:rPr>
                <w:rFonts w:hint="eastAsia" w:eastAsia="微软雅黑" w:cs="Arial"/>
                <w:color w:val="333333"/>
                <w:sz w:val="19"/>
                <w:szCs w:val="19"/>
                <w:lang w:val="en-US" w:eastAsia="zh-CN"/>
              </w:rPr>
              <w:t xml:space="preserve">时</w:t>
            </w:r>
            <w:r>
              <w:rPr>
                <w:rFonts w:hint="eastAsia" w:eastAsia="微软雅黑" w:cs="Arial"/>
                <w:color w:val="333333"/>
                <w:sz w:val="19"/>
                <w:szCs w:val="19"/>
                <w:lang w:val="en-US" w:eastAsia="zh-CN"/>
              </w:rPr>
              <w:t xml:space="preserve">间和精力之后，</w:t>
            </w:r>
            <w:r>
              <w:rPr>
                <w:rFonts w:hint="eastAsia" w:eastAsia="微软雅黑" w:cs="Arial"/>
                <w:color w:val="333333"/>
                <w:sz w:val="19"/>
                <w:szCs w:val="19"/>
                <w:lang w:val="en-US" w:eastAsia="zh-CN"/>
              </w:rPr>
              <w:t xml:space="preserve">仍然</w:t>
            </w:r>
            <w:r>
              <w:rPr>
                <w:rFonts w:hint="eastAsia" w:eastAsia="微软雅黑" w:cs="Arial"/>
                <w:color w:val="333333"/>
                <w:sz w:val="19"/>
                <w:szCs w:val="19"/>
                <w:lang w:val="en-US" w:eastAsia="zh-CN"/>
              </w:rPr>
              <w:t xml:space="preserve">拒绝。</w:t>
            </w:r>
          </w:p>
        </w:tc>
      </w:tr>
    </w:tbl>
    <w:p w14:paraId="1FF4116D">
      <w:pPr>
        <w:spacing w:before="0" w:after="0" w:line="12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2150"/>
        <w:gridCol w:w="6808"/>
      </w:tblGrid>
      <w:tr w14:paraId="14FF7EC8">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2150" w:type="dxa"/>
            <w:tcBorders>
              <w:top w:val="single" w:color="D5DCE6" w:sz="4" w:space="0"/>
              <w:left w:val="single" w:color="3D5A80" w:sz="36" w:space="0"/>
              <w:bottom w:val="single" w:color="D5DCE6" w:sz="4" w:space="0"/>
              <w:right w:val="nil"/>
            </w:tcBorders>
            <w:shd w:val="clear" w:color="auto" w:fill="E8EDF4"/>
            <w:tcMar>
              <w:top w:w="100" w:type="dxa"/>
              <w:left w:w="120" w:type="dxa"/>
              <w:bottom w:w="100" w:type="dxa"/>
              <w:right w:w="120" w:type="dxa"/>
            </w:tcMar>
            <w:vAlign w:val="center"/>
          </w:tcPr>
          <w:p w14:paraId="42315816">
            <w:pPr>
              <w:spacing w:before="0" w:after="20" w:line="240" w:lineRule="auto"/>
              <w:ind w:firstLine="0" w:firstLineChars="0"/>
              <w:jc w:val="center"/>
            </w:pPr>
            <w:r>
              <w:rPr>
                <w:rFonts w:ascii="Aptos" w:hAnsi="Aptos" w:eastAsia="微软雅黑" w:cs="Arial"/>
                <w:b/>
                <w:bCs/>
                <w:color w:val="3D5A80"/>
                <w:sz w:val="52"/>
                <w:szCs w:val="52"/>
              </w:rPr>
              <w:t>33.5%</w:t>
            </w:r>
          </w:p>
          <w:p w14:paraId="7093ED64">
            <w:pPr>
              <w:spacing w:before="0" w:after="0" w:line="240" w:lineRule="auto"/>
              <w:ind w:firstLine="0" w:firstLineChars="0"/>
              <w:jc w:val="center"/>
            </w:pPr>
            <w:r>
              <w:rPr>
                <w:rFonts w:ascii="Aptos" w:hAnsi="Aptos" w:eastAsia="微软雅黑" w:cs="Arial"/>
                <w:color w:val="444444"/>
                <w:sz w:val="17"/>
                <w:szCs w:val="17"/>
              </w:rPr>
              <w:t>需2次及以上通话</w:t>
            </w:r>
          </w:p>
        </w:tc>
        <w:tc>
          <w:tcPr>
            <w:tcW w:w="6808" w:type="dxa"/>
            <w:tcBorders>
              <w:top w:val="single" w:color="D5DCE6" w:sz="4" w:space="0"/>
              <w:left w:val="nil"/>
              <w:bottom w:val="single" w:color="D5DCE6" w:sz="4" w:space="0"/>
              <w:right w:val="single" w:color="D5DCE6" w:sz="4" w:space="0"/>
            </w:tcBorders>
            <w:shd w:val="clear" w:color="auto" w:fill="FFFFFF"/>
            <w:tcMar>
              <w:top w:w="110" w:type="dxa"/>
              <w:left w:w="220" w:type="dxa"/>
              <w:bottom w:w="110" w:type="dxa"/>
              <w:right w:w="200" w:type="dxa"/>
            </w:tcMar>
            <w:vAlign w:val="center"/>
          </w:tcPr>
          <w:p w14:paraId="11CA3E03">
            <w:pPr>
              <w:spacing w:before="0" w:after="40" w:line="280" w:lineRule="auto"/>
              <w:ind w:firstLine="0" w:firstLineChars="0"/>
              <w:jc w:val="left"/>
            </w:pPr>
            <w:r>
              <w:rPr>
                <w:rFonts w:ascii="Aptos" w:hAnsi="Aptos" w:eastAsia="微软雅黑" w:cs="Arial"/>
                <w:b/>
                <w:bCs/>
                <w:color w:val="1B1C1D"/>
                <w:sz w:val="23"/>
                <w:szCs w:val="23"/>
              </w:rPr>
              <w:t>187家需要2次及以上独立通话，占33.5%</w:t>
            </w:r>
          </w:p>
          <w:p w14:paraId="25BD2442">
            <w:pPr>
              <w:spacing w:before="0" w:after="0" w:line="290" w:lineRule="auto"/>
              <w:ind w:firstLine="0" w:firstLineChars="0"/>
              <w:jc w:val="left"/>
            </w:pPr>
            <w:r>
              <w:rPr>
                <w:rFonts w:ascii="Aptos" w:hAnsi="Aptos" w:eastAsia="微软雅黑" w:cs="Arial"/>
                <w:color w:val="333333"/>
                <w:sz w:val="19"/>
                <w:szCs w:val="19"/>
              </w:rPr>
              <w:t xml:space="preserve">558家门店共记录782次独立通话。部分咨询者需要再次联系同一家门店，追问内部确认结果。调查会一直追问到取得明确答复；而实际预订时，使用者听到“我需要给店长汇报一下”，可能就转而联系下一家酒店。</w:t>
            </w:r>
            <w:r>
              <w:rPr>
                <w:rFonts w:ascii="Aptos" w:hAnsi="Aptos" w:eastAsia="微软雅黑" w:cs="Arial"/>
                <w:color w:val="333333"/>
                <w:sz w:val="19"/>
                <w:szCs w:val="19"/>
              </w:rPr>
              <w:t xml:space="preserve">因此，83.3%的最终接纳率是在持续追问下得到的，直接同意率（51.4%）更接近使用者第一次致电时的体验。</w:t>
            </w:r>
            <w:r>
              <w:rPr>
                <w:rFonts w:ascii="Aptos" w:hAnsi="Aptos" w:eastAsia="微软雅黑" w:cs="Arial"/>
                <w:color w:val="333333"/>
                <w:sz w:val="19"/>
                <w:szCs w:val="19"/>
              </w:rPr>
              <w:t xml:space="preserve">研究缘起中，同事为一位社群伙伴代订酒店，拨到第二十家才得到允许入住的答复，就是这种情况。</w:t>
            </w:r>
          </w:p>
        </w:tc>
      </w:tr>
    </w:tbl>
    <w:p w14:paraId="7AA9F2FC">
      <w:pPr>
        <w:spacing w:before="0" w:after="0" w:line="12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2150"/>
        <w:gridCol w:w="6808"/>
      </w:tblGrid>
      <w:tr w14:paraId="0E0B823A">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2150" w:type="dxa"/>
            <w:tcBorders>
              <w:top w:val="single" w:color="D5DCE6" w:sz="4" w:space="0"/>
              <w:left w:val="single" w:color="D99A2B" w:sz="36" w:space="0"/>
              <w:bottom w:val="single" w:color="D5DCE6" w:sz="4" w:space="0"/>
              <w:right w:val="nil"/>
            </w:tcBorders>
            <w:shd w:val="clear" w:color="auto" w:fill="FBF1DE"/>
            <w:tcMar>
              <w:top w:w="100" w:type="dxa"/>
              <w:left w:w="120" w:type="dxa"/>
              <w:bottom w:w="100" w:type="dxa"/>
              <w:right w:w="120" w:type="dxa"/>
            </w:tcMar>
            <w:vAlign w:val="center"/>
          </w:tcPr>
          <w:p w14:paraId="3470F4CD">
            <w:pPr>
              <w:spacing w:before="0" w:after="20" w:line="240" w:lineRule="auto"/>
              <w:ind w:firstLine="0" w:firstLineChars="0"/>
              <w:jc w:val="center"/>
            </w:pPr>
            <w:r>
              <w:rPr>
                <w:rFonts w:ascii="Aptos" w:hAnsi="Aptos" w:eastAsia="微软雅黑" w:cs="Arial"/>
                <w:b/>
                <w:bCs/>
                <w:color w:val="A86B12"/>
                <w:sz w:val="52"/>
                <w:szCs w:val="52"/>
              </w:rPr>
              <w:t>15.4%</w:t>
            </w:r>
          </w:p>
          <w:p w14:paraId="0BE27E86">
            <w:pPr>
              <w:spacing w:before="0" w:after="0" w:line="240" w:lineRule="auto"/>
              <w:ind w:firstLine="0" w:firstLineChars="0"/>
              <w:jc w:val="center"/>
            </w:pPr>
            <w:r>
              <w:rPr>
                <w:rFonts w:ascii="Aptos" w:hAnsi="Aptos" w:eastAsia="微软雅黑" w:cs="Arial"/>
                <w:color w:val="444444"/>
                <w:sz w:val="17"/>
                <w:szCs w:val="17"/>
              </w:rPr>
              <w:t>附带条件接纳</w:t>
            </w:r>
          </w:p>
        </w:tc>
        <w:tc>
          <w:tcPr>
            <w:tcW w:w="6808" w:type="dxa"/>
            <w:tcBorders>
              <w:top w:val="single" w:color="D5DCE6" w:sz="4" w:space="0"/>
              <w:left w:val="nil"/>
              <w:bottom w:val="single" w:color="D5DCE6" w:sz="4" w:space="0"/>
              <w:right w:val="single" w:color="D5DCE6" w:sz="4" w:space="0"/>
            </w:tcBorders>
            <w:shd w:val="clear" w:color="auto" w:fill="FFFFFF"/>
            <w:tcMar>
              <w:top w:w="110" w:type="dxa"/>
              <w:left w:w="220" w:type="dxa"/>
              <w:bottom w:w="110" w:type="dxa"/>
              <w:right w:w="200" w:type="dxa"/>
            </w:tcMar>
            <w:vAlign w:val="center"/>
          </w:tcPr>
          <w:p w14:paraId="45323403">
            <w:pPr>
              <w:spacing w:before="0" w:after="40" w:line="280" w:lineRule="auto"/>
              <w:ind w:firstLine="0" w:firstLineChars="0"/>
              <w:jc w:val="left"/>
            </w:pPr>
            <w:r>
              <w:rPr>
                <w:rFonts w:ascii="Aptos" w:hAnsi="Aptos" w:eastAsia="微软雅黑" w:cs="Arial"/>
                <w:b/>
                <w:bCs/>
                <w:color w:val="1B1C1D"/>
                <w:sz w:val="23"/>
                <w:szCs w:val="23"/>
              </w:rPr>
              <w:t>86家附带条件接纳，占15.4%</w:t>
            </w:r>
          </w:p>
          <w:p w14:paraId="6C9CF1B7">
            <w:pPr>
              <w:spacing w:before="0" w:after="0" w:line="290" w:lineRule="auto"/>
              <w:ind w:firstLine="0" w:firstLineChars="0"/>
              <w:jc w:val="left"/>
            </w:pPr>
            <w:r>
              <w:rPr>
                <w:rFonts w:ascii="Aptos" w:hAnsi="Aptos" w:eastAsia="微软雅黑" w:cs="Arial"/>
                <w:color w:val="333333"/>
                <w:sz w:val="19"/>
                <w:szCs w:val="19"/>
              </w:rPr>
              <w:t>这86家门店没有拒绝导盲犬使用者入住，但提出了额外收费、免责协议、行为要求、房间安排或活动范围限制等条件。</w:t>
            </w:r>
          </w:p>
        </w:tc>
      </w:tr>
    </w:tbl>
    <w:p w14:paraId="32B011F3">
      <w:pPr>
        <w:spacing w:before="0" w:after="0" w:line="12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2150"/>
        <w:gridCol w:w="6808"/>
      </w:tblGrid>
      <w:tr w14:paraId="02CD6C98">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2150" w:type="dxa"/>
            <w:tcBorders>
              <w:top w:val="single" w:color="D5DCE6" w:sz="4" w:space="0"/>
              <w:left w:val="single" w:color="234C82" w:sz="36" w:space="0"/>
              <w:bottom w:val="single" w:color="D5DCE6" w:sz="4" w:space="0"/>
              <w:right w:val="nil"/>
            </w:tcBorders>
            <w:shd w:val="clear" w:color="auto" w:fill="E6ECF5"/>
            <w:tcMar>
              <w:top w:w="100" w:type="dxa"/>
              <w:left w:w="120" w:type="dxa"/>
              <w:bottom w:w="100" w:type="dxa"/>
              <w:right w:w="120" w:type="dxa"/>
            </w:tcMar>
            <w:vAlign w:val="center"/>
          </w:tcPr>
          <w:p w14:paraId="1FF9A32D">
            <w:pPr>
              <w:spacing w:before="0" w:after="20" w:line="240" w:lineRule="auto"/>
              <w:ind w:firstLine="0" w:firstLineChars="0"/>
              <w:jc w:val="center"/>
            </w:pPr>
            <w:r>
              <w:rPr>
                <w:rFonts w:ascii="Aptos" w:hAnsi="Aptos" w:eastAsia="微软雅黑" w:cs="Arial"/>
                <w:b/>
                <w:bCs/>
                <w:color w:val="234C82"/>
                <w:sz w:val="34"/>
                <w:szCs w:val="34"/>
              </w:rPr>
              <w:t>汉庭 · 重庆</w:t>
            </w:r>
          </w:p>
          <w:p w14:paraId="254A8AF8">
            <w:pPr>
              <w:spacing w:before="0" w:after="0" w:line="240" w:lineRule="auto"/>
              <w:ind w:firstLine="0" w:firstLineChars="0"/>
              <w:jc w:val="center"/>
            </w:pPr>
            <w:r>
              <w:rPr>
                <w:rFonts w:ascii="Aptos" w:hAnsi="Aptos" w:eastAsia="微软雅黑" w:cs="Arial"/>
                <w:color w:val="444444"/>
                <w:sz w:val="17"/>
                <w:szCs w:val="17"/>
              </w:rPr>
              <w:t>品牌、城市排行第一</w:t>
            </w:r>
          </w:p>
        </w:tc>
        <w:tc>
          <w:tcPr>
            <w:tcW w:w="6808" w:type="dxa"/>
            <w:tcBorders>
              <w:top w:val="single" w:color="D5DCE6" w:sz="4" w:space="0"/>
              <w:left w:val="nil"/>
              <w:bottom w:val="single" w:color="D5DCE6" w:sz="4" w:space="0"/>
              <w:right w:val="single" w:color="D5DCE6" w:sz="4" w:space="0"/>
            </w:tcBorders>
            <w:shd w:val="clear" w:color="auto" w:fill="FFFFFF"/>
            <w:tcMar>
              <w:top w:w="110" w:type="dxa"/>
              <w:left w:w="220" w:type="dxa"/>
              <w:bottom w:w="110" w:type="dxa"/>
              <w:right w:w="200" w:type="dxa"/>
            </w:tcMar>
            <w:vAlign w:val="center"/>
          </w:tcPr>
          <w:p w14:paraId="7B9E213D">
            <w:pPr>
              <w:spacing w:before="0" w:after="40" w:line="280" w:lineRule="auto"/>
              <w:ind w:firstLine="0" w:firstLineChars="0"/>
              <w:jc w:val="left"/>
            </w:pPr>
            <w:r>
              <w:rPr>
                <w:rFonts w:ascii="Aptos" w:hAnsi="Aptos" w:eastAsia="微软雅黑" w:cs="Arial"/>
                <w:b/>
                <w:bCs/>
                <w:color w:val="1B1C1D"/>
                <w:sz w:val="23"/>
                <w:szCs w:val="23"/>
              </w:rPr>
              <w:t>品牌与城市的接待表现存在差异，排行需结合调查时间解读</w:t>
            </w:r>
          </w:p>
          <w:p w14:paraId="54567339">
            <w:pPr>
              <w:spacing w:before="0" w:after="0" w:line="290" w:lineRule="auto"/>
              <w:ind w:firstLine="0" w:firstLineChars="0"/>
              <w:jc w:val="left"/>
            </w:pPr>
            <w:r>
              <w:rPr>
                <w:rFonts w:ascii="Aptos" w:hAnsi="Aptos" w:eastAsia="微软雅黑" w:cs="Arial"/>
                <w:color w:val="333333"/>
                <w:sz w:val="19"/>
                <w:szCs w:val="19"/>
              </w:rPr>
              <w:t>汉庭、全季位列品牌前两位，重庆、昆明、成都位列城市前三；格林豪泰、尚客优选约三成样本门店最终拒绝。</w:t>
            </w:r>
          </w:p>
          <w:p w14:paraId="4DE2C46F">
            <w:pPr>
              <w:spacing w:before="40" w:after="0" w:line="280" w:lineRule="auto"/>
              <w:ind w:firstLine="0" w:firstLineChars="0"/>
              <w:jc w:val="left"/>
            </w:pPr>
            <w:r>
              <w:rPr>
                <w:rFonts w:ascii="Aptos" w:hAnsi="Aptos" w:eastAsia="微软雅黑" w:cs="Arial"/>
                <w:b/>
                <w:bCs/>
                <w:color w:val="234C82"/>
                <w:sz w:val="18"/>
                <w:szCs w:val="18"/>
              </w:rPr>
              <w:t>排行详见“品牌与城市排行”</w:t>
            </w:r>
          </w:p>
        </w:tc>
      </w:tr>
    </w:tbl>
    <w:p w14:paraId="075CC62E">
      <w:pPr>
        <w:spacing w:before="0" w:after="0" w:line="120" w:lineRule="exact"/>
        <w:ind w:firstLine="0" w:firstLineChars="0"/>
      </w:pPr>
    </w:p>
    <w:p w14:paraId="43D9FBA3">
      <w:pPr>
        <w:keepLines/>
        <w:ind w:firstLine="420"/>
        <w:rPr>
          <w:rFonts w:hint="eastAsia"/>
          <w:lang w:eastAsia="zh-CN"/>
        </w:rPr>
      </w:pPr>
    </w:p>
    <w:p w14:paraId="542EBD84">
      <w:pPr>
        <w:pStyle w:val="3"/>
        <w:pageBreakBefore/>
      </w:pPr>
      <w:bookmarkStart w:id="2" w:name="_Toc900000001"/>
      <w:r>
        <w:t>品牌与城市排行</w:t>
      </w:r>
      <w:bookmarkEnd w:id="2"/>
    </w:p>
    <w:p w14:paraId="44220D2A">
      <w:r>
        <w:t>综合排行比较各组样本最终是否接纳，以及取得接纳需要多少沟通。以下得分与名次均对应调研期内的样本门店。计算规则见附录二（一），排行解读与局限见附录三（三）。</w:t>
      </w:r>
    </w:p>
    <w:p w14:paraId="4B754EF2">
      <w:pPr>
        <w:spacing w:before="0" w:after="0" w:line="80" w:lineRule="exact"/>
        <w:ind w:firstLine="0" w:firstLineChars="0"/>
      </w:pPr>
    </w:p>
    <w:tbl>
      <w:tblPr>
        <w:tblStyle w:val="38"/>
        <w:tblW w:w="8958" w:type="dxa"/>
        <w:jc w:val="center"/>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Layout w:type="fixed"/>
        <w:tblCellMar>
          <w:top w:w="100" w:type="dxa"/>
          <w:left w:w="160" w:type="dxa"/>
          <w:bottom w:w="100" w:type="dxa"/>
          <w:right w:w="160" w:type="dxa"/>
        </w:tblCellMar>
      </w:tblPr>
      <w:tblGrid>
        <w:gridCol w:w="8958"/>
      </w:tblGrid>
      <w:tr w14:paraId="45E5E1BE">
        <w:tblPrEx>
          <w:tblBorders>
            <w:top w:val="none" w:color="D5DCE6" w:sz="4" w:space="0"/>
            <w:left w:val="none" w:color="D5DCE6" w:sz="4" w:space="0"/>
            <w:bottom w:val="none" w:color="D5DCE6" w:sz="4" w:space="0"/>
            <w:right w:val="none" w:color="D5DCE6" w:sz="4" w:space="0"/>
            <w:insideH w:val="none" w:color="D5DCE6" w:sz="4" w:space="0"/>
            <w:insideV w:val="none" w:color="D5DCE6" w:sz="4" w:space="0"/>
          </w:tblBorders>
          <w:tblCellMar>
            <w:top w:w="100" w:type="dxa"/>
            <w:left w:w="160" w:type="dxa"/>
            <w:bottom w:w="100" w:type="dxa"/>
            <w:right w:w="160" w:type="dxa"/>
          </w:tblCellMar>
        </w:tblPrEx>
        <w:trPr>
          <w:cantSplit/>
          <w:jc w:val="center"/>
        </w:trPr>
        <w:tc>
          <w:tcPr>
            <w:tcW w:w="8958" w:type="dxa"/>
            <w:tcBorders>
              <w:top w:val="nil"/>
              <w:left w:val="single" w:color="234C82" w:sz="36" w:space="0"/>
              <w:bottom w:val="nil"/>
              <w:right w:val="nil"/>
            </w:tcBorders>
            <w:shd w:val="clear" w:color="auto" w:fill="F2F5FA"/>
            <w:tcMar>
              <w:top w:w="180" w:type="dxa"/>
              <w:left w:w="260" w:type="dxa"/>
              <w:bottom w:w="180" w:type="dxa"/>
              <w:right w:w="240" w:type="dxa"/>
            </w:tcMar>
            <w:vAlign w:val="center"/>
          </w:tcPr>
          <w:p w14:paraId="0090E71C">
            <w:pPr>
              <w:spacing w:before="0" w:after="80" w:line="300" w:lineRule="auto"/>
              <w:ind w:firstLine="0" w:firstLineChars="0"/>
              <w:jc w:val="left"/>
            </w:pPr>
            <w:r>
              <w:rPr>
                <w:rFonts w:ascii="Aptos" w:hAnsi="Aptos" w:eastAsia="微软雅黑" w:cs="Arial"/>
                <w:b/>
                <w:bCs/>
                <w:color w:val="234C82"/>
                <w:sz w:val="23"/>
                <w:szCs w:val="23"/>
              </w:rPr>
              <w:t>读榜要点</w:t>
            </w:r>
          </w:p>
          <w:p w14:paraId="54A044E7">
            <w:pPr>
              <w:spacing w:before="0" w:after="60" w:line="320" w:lineRule="auto"/>
              <w:ind w:firstLine="0" w:firstLineChars="0"/>
              <w:jc w:val="left"/>
            </w:pPr>
            <w:r>
              <w:rPr>
                <w:rFonts w:ascii="Aptos" w:hAnsi="Aptos" w:eastAsia="微软雅黑" w:cs="Arial"/>
                <w:color w:val="333333"/>
                <w:sz w:val="20"/>
                <w:szCs w:val="20"/>
              </w:rPr>
              <w:t>第一，品牌之间差距明显。汉庭、全季的最终拒绝率分别为8.6%和12.1%，格林豪泰、尚客优选则约三成样本门店最终拒绝（32.7%、31.9%）。</w:t>
            </w:r>
          </w:p>
          <w:p w14:paraId="2C7F6F8B">
            <w:pPr>
              <w:spacing w:before="0" w:after="60" w:line="320" w:lineRule="auto"/>
              <w:ind w:firstLine="0" w:firstLineChars="0"/>
              <w:jc w:val="left"/>
            </w:pPr>
            <w:r>
              <w:rPr>
                <w:rFonts w:ascii="Aptos" w:hAnsi="Aptos" w:eastAsia="微软雅黑" w:cs="Arial"/>
                <w:color w:val="333333"/>
                <w:sz w:val="20"/>
                <w:szCs w:val="20"/>
              </w:rPr>
              <w:t>第二，城市排行受调查批次影响较大。以第一批（2023年11月至2024年1月）调查为主的7座城市全部位于末7位，北京以3.26分位列最后；第二批调查的23座城市中，排名最后的广州也有6.60分。城市差异与调查时间交织在一起，不能单独归因于城市本身（见附录三）。</w:t>
            </w:r>
          </w:p>
          <w:p w14:paraId="2881E1C0">
            <w:pPr>
              <w:spacing w:before="0" w:after="60" w:line="320" w:lineRule="auto"/>
              <w:ind w:firstLine="0" w:firstLineChars="0"/>
              <w:jc w:val="left"/>
            </w:pPr>
            <w:r>
              <w:rPr>
                <w:rFonts w:ascii="Aptos" w:hAnsi="Aptos" w:eastAsia="微软雅黑" w:cs="Arial"/>
                <w:color w:val="333333"/>
                <w:sz w:val="20"/>
                <w:szCs w:val="20"/>
              </w:rPr>
              <w:t>第三，城市综合排名前三的是重庆、昆明和成都，均为第二批调查城市：重庆、昆明样本没有出现最终拒绝，成都的直接同意率达75.0%。</w:t>
            </w:r>
          </w:p>
          <w:p w14:paraId="409AEB9B">
            <w:pPr>
              <w:spacing w:before="0" w:after="60" w:line="320" w:lineRule="auto"/>
              <w:ind w:firstLine="0" w:firstLineChars="0"/>
              <w:jc w:val="left"/>
            </w:pPr>
            <w:r>
              <w:rPr>
                <w:rFonts w:ascii="Aptos" w:hAnsi="Aptos" w:eastAsia="微软雅黑" w:cs="Arial"/>
                <w:color w:val="333333"/>
                <w:sz w:val="20"/>
                <w:szCs w:val="20"/>
              </w:rPr>
              <w:t xml:space="preserve">第四，没有被拒绝，不等于没有附</w:t>
            </w:r>
            <w:r>
              <w:rPr>
                <w:rFonts w:ascii="Aptos" w:hAnsi="Aptos" w:eastAsia="微软雅黑" w:cs="Arial"/>
                <w:color w:val="333333"/>
                <w:sz w:val="20"/>
                <w:szCs w:val="20"/>
              </w:rPr>
              <w:t xml:space="preserve">带</w:t>
            </w:r>
            <w:r>
              <w:rPr>
                <w:rFonts w:ascii="Aptos" w:hAnsi="Aptos" w:eastAsia="微软雅黑" w:cs="Arial"/>
                <w:color w:val="333333"/>
                <w:sz w:val="20"/>
                <w:szCs w:val="20"/>
              </w:rPr>
              <w:t xml:space="preserve">条件。大连、贵阳样本无一最终拒绝，但附带条件接纳比例分别为38.9%和40.0%。</w:t>
            </w:r>
          </w:p>
        </w:tc>
      </w:tr>
    </w:tbl>
    <w:p w14:paraId="32C48D23">
      <w:pPr>
        <w:spacing w:before="0" w:after="0" w:line="80" w:lineRule="exact"/>
        <w:ind w:firstLine="0" w:firstLineChars="0"/>
      </w:pPr>
    </w:p>
    <w:p w14:paraId="55B00662">
      <w:pPr>
        <w:pStyle w:val="5"/>
      </w:pPr>
      <w:bookmarkStart w:id="3" w:name="_Toc239432607"/>
      <w:r>
        <w:t>（一）品牌综合排行</w:t>
      </w:r>
      <w:bookmarkEnd w:id="3"/>
    </w:p>
    <w:p w14:paraId="1FA9E1CE">
      <w:pPr>
        <w:keepNext/>
        <w:spacing w:after="40"/>
        <w:jc w:val="center"/>
      </w:pPr>
      <w:r>
        <w:drawing>
          <wp:inline distT="0" distB="0" distL="0" distR="0">
            <wp:extent cx="4978400" cy="3368040"/>
            <wp:effectExtent l="0" t="0" r="0" b="0"/>
            <wp:docPr id="28" name="Picture 28" descr="10个酒店品牌样本接纳与沟通表现排行。汉庭8.48分、全季8.45分、7天7.86分位列前三。每行同时显示样本量、最终接纳率、直接同意率、一次通话接纳率和附带条件比例。" title="10个酒店品牌样本接纳与沟通表现排行。汉庭8.48分、全季8.45分、7天7.86分位列前三。每行同时显示样本量、最终接纳率、直接同意率、一次通话接纳率和附带条件比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10个酒店品牌样本接纳与沟通表现排行。汉庭8.48分、全季8.45分、7天7.86分位列前三。每行同时显示样本量、最终接纳率、直接同意率、一次通话接纳率和附带条件比例。" title="10个酒店品牌样本接纳与沟通表现排行。汉庭8.48分、全季8.45分、7天7.86分位列前三。每行同时显示样本量、最终接纳率、直接同意率、一次通话接纳率和附带条件比例。"/>
                    <pic:cNvPicPr>
                      <a:picLocks noChangeAspect="1"/>
                    </pic:cNvPicPr>
                  </pic:nvPicPr>
                  <pic:blipFill>
                    <a:blip r:embed="rId8"/>
                    <a:stretch>
                      <a:fillRect/>
                    </a:stretch>
                  </pic:blipFill>
                  <pic:spPr>
                    <a:xfrm>
                      <a:off x="0" y="0"/>
                      <a:ext cx="4978908" cy="3368756"/>
                    </a:xfrm>
                    <a:prstGeom prst="rect">
                      <a:avLst/>
                    </a:prstGeom>
                  </pic:spPr>
                </pic:pic>
              </a:graphicData>
            </a:graphic>
          </wp:inline>
        </w:drawing>
      </w:r>
    </w:p>
    <w:p w14:paraId="534865CA">
      <w:pPr>
        <w:pStyle w:val="174"/>
      </w:pPr>
      <w:r>
        <w:t xml:space="preserve">图</w:t>
      </w:r>
      <w:r>
        <w:t xml:space="preserve">1</w:t>
      </w:r>
      <w:r>
        <w:t xml:space="preserve">　10个品牌样本接纳与沟通表现排行（各品牌n=47—60家）</w:t>
      </w:r>
    </w:p>
    <w:p w14:paraId="1B75DAF0">
      <w:r>
        <w:t>汉庭和全季位列品牌样本前两位，得分分别为8.48和8.45。两个品牌表现较好的分项不同：汉庭最终接纳率更高，全季直接同意率和一次通话接纳率更高。尚客优选和格林豪泰的最终接纳率不足七成，位于本次品牌样本后两位。</w:t>
      </w:r>
    </w:p>
    <w:p w14:paraId="135CF9E3">
      <w:r>
        <w:t>各品牌平均独立通话次数也呈现不同的沟通负担：城市便捷为1.67次，锦江之星为1.52次，尚客优选和格林豪泰均为1.51次；汉庭为1.19次，全季为1.14次。</w:t>
      </w:r>
    </w:p>
    <w:p w14:paraId="70EB44FD">
      <w:r>
        <w:t>城市便捷的平均独立通话次数在10个品牌中最高，最终接纳率为85.7%；尚客优选和格林豪泰的最终接纳率分别为68.1%和67.3%。这三组样本的平均通话次数相近，沟通后的结果却不同：城市便捷多数最终接纳，另外两个品牌约三成样本最终拒绝。</w:t>
      </w:r>
    </w:p>
    <w:p w14:paraId="5CB38CD9">
      <w:pPr>
        <w:pStyle w:val="5"/>
        <w:pageBreakBefore/>
      </w:pPr>
      <w:r>
        <w:t>（二）城市综合排行</w:t>
      </w:r>
    </w:p>
    <w:p w14:paraId="52EFC1C9">
      <w:r>
        <w:t>第一批调查的7座城市（北京、上海、天津、郑州、秦皇岛、青岛、杭州）与其余23座城市的调查相隔约17个月（杭州、长治有部分门店例外，见附录一（三）），城市排行受调查时间影响较大；排行解读与局限见附录三（三）。</w:t>
      </w:r>
    </w:p>
    <w:p w14:paraId="0CC2A1B6">
      <w:pPr>
        <w:keepNext/>
      </w:pPr>
      <w:r>
        <w:t>城市样本第1至15名</w:t>
      </w:r>
    </w:p>
    <w:p w14:paraId="21C28A14">
      <w:pPr>
        <w:keepNext/>
        <w:spacing w:after="40"/>
        <w:jc w:val="center"/>
      </w:pPr>
      <w:r>
        <w:drawing>
          <wp:inline distT="0" distB="0" distL="0" distR="0">
            <wp:extent cx="5394960" cy="4392295"/>
            <wp:effectExtent l="0" t="0" r="0" b="0"/>
            <wp:docPr id="29" name="Picture 29" descr="30座城市样本接纳与沟通表现排行的前15名。重庆8.90分、昆明8.74分、成都8.70分位列前三；每行显示样本量和四项分项信息。" title="30座城市样本接纳与沟通表现排行的前15名。重庆8.90分、昆明8.74分、成都8.70分位列前三；每行显示样本量和四项分项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30座城市样本接纳与沟通表现排行的前15名。重庆8.90分、昆明8.74分、成都8.70分位列前三；每行显示样本量和四项分项信息。" title="30座城市样本接纳与沟通表现排行的前15名。重庆8.90分、昆明8.74分、成都8.70分位列前三；每行显示样本量和四项分项信息。"/>
                    <pic:cNvPicPr>
                      <a:picLocks noChangeAspect="1"/>
                    </pic:cNvPicPr>
                  </pic:nvPicPr>
                  <pic:blipFill>
                    <a:blip r:embed="rId9"/>
                    <a:stretch>
                      <a:fillRect/>
                    </a:stretch>
                  </pic:blipFill>
                  <pic:spPr>
                    <a:xfrm>
                      <a:off x="0" y="0"/>
                      <a:ext cx="5394960" cy="4392685"/>
                    </a:xfrm>
                    <a:prstGeom prst="rect">
                      <a:avLst/>
                    </a:prstGeom>
                  </pic:spPr>
                </pic:pic>
              </a:graphicData>
            </a:graphic>
          </wp:inline>
        </w:drawing>
      </w:r>
    </w:p>
    <w:p w14:paraId="3F37D544">
      <w:pPr>
        <w:pStyle w:val="174"/>
      </w:pPr>
      <w:r>
        <w:t xml:space="preserve">图</w:t>
      </w:r>
      <w:r>
        <w:t xml:space="preserve">2</w:t>
      </w:r>
      <w:r>
        <w:t xml:space="preserve">　30城样本接纳与沟通表现排行（第1—15名，各城市n=15—20家）</w:t>
      </w:r>
    </w:p>
    <w:p w14:paraId="082904BC">
      <w:pPr>
        <w:keepNext/>
        <w:pageBreakBefore/>
      </w:pPr>
      <w:r>
        <w:t>城市样本第16至30名</w:t>
      </w:r>
    </w:p>
    <w:p w14:paraId="28A75366">
      <w:pPr>
        <w:keepNext/>
        <w:spacing w:after="40"/>
        <w:jc w:val="center"/>
      </w:pPr>
      <w:r>
        <w:drawing>
          <wp:inline distT="0" distB="0" distL="0" distR="0">
            <wp:extent cx="5394960" cy="4392295"/>
            <wp:effectExtent l="0" t="0" r="2540" b="1905"/>
            <wp:docPr id="1" name="Picture 30" descr="30座城市样本接纳与沟通表现排行的第16至30名。杭州4.60分、秦皇岛4.00分、北京3.26分位于末三位；每行显示样本量和四项分项信息。" title="30座城市样本接纳与沟通表现排行的第16至30名。杭州4.60分、秦皇岛4.00分、北京3.26分位于末三位；每行显示样本量和四项分项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descr="30座城市样本接纳与沟通表现排行的第16至30名。杭州4.60分、秦皇岛4.00分、北京3.26分位于末三位；每行显示样本量和四项分项信息。" title="30座城市样本接纳与沟通表现排行的第16至30名。杭州4.60分、秦皇岛4.00分、北京3.26分位于末三位；每行显示样本量和四项分项信息。"/>
                    <pic:cNvPicPr>
                      <a:picLocks noChangeAspect="1"/>
                    </pic:cNvPicPr>
                  </pic:nvPicPr>
                  <pic:blipFill>
                    <a:blip r:embed="rId10"/>
                    <a:stretch>
                      <a:fillRect/>
                    </a:stretch>
                  </pic:blipFill>
                  <pic:spPr>
                    <a:xfrm>
                      <a:off x="0" y="0"/>
                      <a:ext cx="5394960" cy="4392685"/>
                    </a:xfrm>
                    <a:prstGeom prst="rect">
                      <a:avLst/>
                    </a:prstGeom>
                  </pic:spPr>
                </pic:pic>
              </a:graphicData>
            </a:graphic>
          </wp:inline>
        </w:drawing>
      </w:r>
    </w:p>
    <w:p w14:paraId="36374540">
      <w:pPr>
        <w:pStyle w:val="174"/>
      </w:pPr>
      <w:r>
        <w:t xml:space="preserve">图</w:t>
      </w:r>
      <w:r>
        <w:t xml:space="preserve">3</w:t>
      </w:r>
      <w:r>
        <w:t xml:space="preserve">　30城样本接纳与沟通表现排行（第16—30名，各城市n=15—20家）</w:t>
      </w:r>
    </w:p>
    <w:p w14:paraId="6ABCF3FB">
      <w:pPr>
        <w:pStyle w:val="3"/>
        <w:pageBreakBefore/>
      </w:pPr>
      <w:bookmarkStart w:id="4" w:name="_Toc242417903"/>
      <w:bookmarkStart w:id="5" w:name="_Toc239432600"/>
      <w:r>
        <w:rPr>
          <w:rFonts w:ascii="宋体" w:hAnsi="宋体" w:eastAsia="宋体"/>
          <w:b w:val="0"/>
        </w:rPr>
        <w:t>第一章 研究发现</w:t>
      </w:r>
      <w:bookmarkEnd w:id="4"/>
      <w:bookmarkEnd w:id="5"/>
    </w:p>
    <w:p w14:paraId="544FB2FB">
      <w:pPr>
        <w:rPr>
          <w:rFonts w:hint="eastAsia"/>
          <w:lang w:eastAsia="zh-CN"/>
        </w:rPr>
      </w:pPr>
      <w:r>
        <w:rPr>
          <w:rFonts w:hint="eastAsia"/>
          <w:lang w:eastAsia="zh-CN"/>
        </w:rPr>
        <w:t xml:space="preserve">在电话咨询中，致电的团队成员</w:t>
      </w:r>
      <w:r>
        <w:rPr>
          <w:rFonts w:hint="eastAsia"/>
          <w:lang w:eastAsia="zh-CN"/>
        </w:rPr>
        <w:t xml:space="preserve">中</w:t>
      </w:r>
      <w:r>
        <w:rPr>
          <w:rFonts w:hint="eastAsia"/>
          <w:lang w:eastAsia="zh-CN"/>
        </w:rPr>
        <w:t xml:space="preserve">有视障伙伴，</w:t>
      </w:r>
      <w:r>
        <w:rPr>
          <w:rFonts w:hint="eastAsia"/>
          <w:lang w:eastAsia="zh-CN"/>
        </w:rPr>
        <w:t xml:space="preserve">以导盲犬使用者本人的身份咨询</w:t>
      </w:r>
      <w:r>
        <w:rPr>
          <w:rFonts w:hint="eastAsia"/>
          <w:lang w:eastAsia="zh-CN"/>
        </w:rPr>
        <w:t xml:space="preserve">；也有成员</w:t>
      </w:r>
      <w:r>
        <w:rPr>
          <w:rFonts w:hint="eastAsia"/>
          <w:lang w:eastAsia="zh-CN"/>
        </w:rPr>
        <w:t xml:space="preserve">以亲友身份代为预订。我们希望像其他住客一样，得到明确的答复和住宿安排；但在一些门店，这样普通的请求也要反复解释和确认。</w:t>
      </w:r>
    </w:p>
    <w:p w14:paraId="405AECDE">
      <w:pPr>
        <w:rPr>
          <w:rFonts w:hint="eastAsia"/>
          <w:lang w:eastAsia="zh-CN"/>
        </w:rPr>
      </w:pPr>
      <w:r>
        <w:rPr>
          <w:rFonts w:hint="eastAsia"/>
          <w:lang w:eastAsia="zh-CN"/>
        </w:rPr>
        <w:t>我们遇到的情况大致有三种：</w:t>
      </w:r>
    </w:p>
    <w:p w14:paraId="1E094CBE">
      <w:pPr>
        <w:pStyle w:val="16"/>
        <w:rPr>
          <w:rFonts w:hint="eastAsia"/>
          <w:lang w:eastAsia="zh-CN"/>
        </w:rPr>
      </w:pPr>
      <w:r>
        <w:rPr>
          <w:rFonts w:hint="eastAsia"/>
          <w:lang w:eastAsia="zh-CN"/>
        </w:rPr>
        <w:t>有的门店一听说有导盲犬，就直接拒绝；</w:t>
      </w:r>
    </w:p>
    <w:p w14:paraId="100035F2">
      <w:pPr>
        <w:pStyle w:val="16"/>
        <w:rPr>
          <w:rFonts w:hint="eastAsia"/>
          <w:lang w:eastAsia="zh-CN"/>
        </w:rPr>
      </w:pPr>
      <w:r>
        <w:rPr>
          <w:rFonts w:hint="eastAsia"/>
          <w:lang w:eastAsia="zh-CN"/>
        </w:rPr>
        <w:t>有的门店即便在咨询者详尽说明导盲犬的工作属性及《无障碍环境建设法》等法律依据后，仍要求长时间等待内部逐级请示；</w:t>
      </w:r>
    </w:p>
    <w:p w14:paraId="441C3253">
      <w:pPr>
        <w:pStyle w:val="16"/>
        <w:rPr>
          <w:rFonts w:hint="eastAsia"/>
          <w:lang w:eastAsia="zh-CN"/>
        </w:rPr>
      </w:pPr>
      <w:r>
        <w:rPr>
          <w:rFonts w:hint="eastAsia"/>
          <w:lang w:eastAsia="zh-CN"/>
        </w:rPr>
        <w:t>还有的门店即便原则上同意接待，却附带了加收押金、清洁费等额外费用，有时只允许改订面积更大的家庭房。</w:t>
      </w:r>
    </w:p>
    <w:p w14:paraId="1C8D5B07">
      <w:pPr>
        <w:rPr>
          <w:rFonts w:hint="eastAsia"/>
          <w:lang w:eastAsia="zh-CN"/>
        </w:rPr>
      </w:pPr>
      <w:r>
        <w:rPr>
          <w:rFonts w:hint="eastAsia"/>
          <w:lang w:eastAsia="zh-CN"/>
        </w:rPr>
        <w:t xml:space="preserve">所需核验的证件、接待依据及入住须知，本应由作为服务方的酒店主动、明确说明，但在现实中，却往往需要咨询者耗费精力逐项追问。</w:t>
      </w:r>
    </w:p>
    <w:p w14:paraId="3E0624A9">
      <w:pPr>
        <w:rPr>
          <w:lang w:eastAsia="zh-CN"/>
        </w:rPr>
      </w:pPr>
      <w:r>
        <w:rPr>
          <w:rFonts w:hint="eastAsia"/>
          <w:lang w:eastAsia="zh-CN"/>
        </w:rPr>
        <w:t xml:space="preserve">本章围绕最终答复、沟通过程和附带条件</w:t>
      </w:r>
      <w:r>
        <w:rPr>
          <w:rFonts w:hint="eastAsia"/>
          <w:lang w:eastAsia="zh-CN"/>
        </w:rPr>
        <w:t xml:space="preserve">，记录这些额外的工作，以及使用者怎样询问、争取和作出选择</w:t>
      </w:r>
      <w:r>
        <w:rPr>
          <w:rFonts w:hint="eastAsia"/>
          <w:lang w:eastAsia="zh-CN"/>
        </w:rPr>
        <w:t xml:space="preserve">。电话里的一句“可以”或“不可以”，关系着</w:t>
      </w:r>
      <w:r>
        <w:rPr>
          <w:rFonts w:hint="eastAsia"/>
          <w:lang w:val="en-US" w:eastAsia="zh-CN"/>
        </w:rPr>
        <w:t>导盲犬</w:t>
      </w:r>
      <w:r>
        <w:rPr>
          <w:rFonts w:hint="eastAsia"/>
          <w:lang w:eastAsia="zh-CN"/>
        </w:rPr>
        <w:t>使用者当晚住在哪里、是否要改订酒店，以及后续行程怎样安排。</w:t>
      </w:r>
    </w:p>
    <w:p w14:paraId="18F92DE0">
      <w:pPr>
        <w:pStyle w:val="4"/>
      </w:pPr>
      <w:bookmarkStart w:id="6" w:name="_Toc239432602"/>
      <w:bookmarkStart w:id="7" w:name="_Toc242417904"/>
      <w:r>
        <w:t>一 总体接纳结果</w:t>
      </w:r>
      <w:bookmarkEnd w:id="6"/>
      <w:bookmarkEnd w:id="7"/>
    </w:p>
    <w:p w14:paraId="6A38A747">
      <w:pPr>
        <w:rPr>
          <w:rFonts w:hint="eastAsia"/>
          <w:lang w:eastAsia="zh-CN"/>
        </w:rPr>
      </w:pPr>
      <w:r>
        <w:rPr>
          <w:rFonts w:hint="eastAsia"/>
          <w:lang w:eastAsia="zh-CN"/>
        </w:rPr>
        <w:t>在558家获取有效反馈的酒店门店中，最终共有465家表示接纳导盲犬入住，总体接纳率为83.3%；93家最终拒绝，占16.7%。</w:t>
      </w:r>
    </w:p>
    <w:p w14:paraId="493C83B3">
      <w:pPr>
        <w:rPr>
          <w:rFonts w:hint="eastAsia"/>
          <w:lang w:eastAsia="zh-CN"/>
        </w:rPr>
      </w:pPr>
      <w:r>
        <w:rPr>
          <w:rFonts w:hint="eastAsia"/>
          <w:lang w:eastAsia="zh-CN"/>
        </w:rPr>
        <w:t xml:space="preserve">不过，最终同意接待并不等于过程顺畅。从答复的形成过程来看，仅有约半数门店（287家，占51.4%）在第一轮沟通中直接表示同意；其余近半数门店（48.6%）</w:t>
      </w:r>
      <w:r>
        <w:rPr>
          <w:rFonts w:hint="eastAsia"/>
          <w:lang w:eastAsia="zh-CN"/>
        </w:rPr>
        <w:t xml:space="preserve">在初次询问时</w:t>
      </w:r>
      <w:r>
        <w:rPr>
          <w:rFonts w:hint="eastAsia"/>
          <w:lang w:eastAsia="zh-CN"/>
        </w:rPr>
        <w:t xml:space="preserve">直接拒绝，</w:t>
      </w:r>
      <w:r>
        <w:rPr>
          <w:rFonts w:hint="eastAsia"/>
          <w:lang w:eastAsia="zh-CN"/>
        </w:rPr>
        <w:t xml:space="preserve">或需要进一步核实</w:t>
      </w:r>
      <w:r>
        <w:rPr>
          <w:rFonts w:hint="eastAsia"/>
          <w:lang w:eastAsia="zh-CN"/>
        </w:rPr>
        <w:t xml:space="preserve">。在最终接纳的465家门店中，178家（38.3%）是在进一步沟通后同意的，即咨询者继续解释、追问或等待门店内部确认之后；在最终拒绝的93家门店中，47家是在进一步沟通后仍然拒绝。这里统计的是电话答复。团队成员和社群伙伴的经历显示，电话里得到同意之后，到店时仍可能要重新解释、等待核实，甚至被拒。</w:t>
      </w:r>
    </w:p>
    <w:p w14:paraId="2EB72959">
      <w:pPr>
        <w:rPr>
          <w:rFonts w:hint="eastAsia"/>
          <w:lang w:eastAsia="zh-CN"/>
        </w:rPr>
      </w:pPr>
      <w:r>
        <w:rPr>
          <w:rFonts w:hint="eastAsia"/>
          <w:lang w:eastAsia="zh-CN"/>
        </w:rPr>
        <w:t xml:space="preserve">对导盲犬使用者来说，每次拨打电话前都不知道会遇到哪一种答复，这种不确定本身就是其他住客不必承担的负担；需要解释多少次、同意后有没有附</w:t>
      </w:r>
      <w:r>
        <w:rPr>
          <w:rFonts w:hint="eastAsia"/>
          <w:lang w:eastAsia="zh-CN"/>
        </w:rPr>
        <w:t xml:space="preserve">带</w:t>
      </w:r>
      <w:r>
        <w:rPr>
          <w:rFonts w:hint="eastAsia"/>
          <w:lang w:eastAsia="zh-CN"/>
        </w:rPr>
        <w:t xml:space="preserve">条件，同样影响预订能否进行。</w:t>
      </w:r>
    </w:p>
    <w:p w14:paraId="2A61A319">
      <w:r>
        <w:t xml:space="preserve">图</w:t>
      </w:r>
      <w:r>
        <w:t xml:space="preserve">4</w:t>
      </w:r>
      <w:r>
        <w:t xml:space="preserve">分别呈现答复的形成过程与最终结果。其中，“直接同意”“直接拒绝”指咨询者尚未补充解释时门店给出的首个明确答复（定义见附录一（二））。</w:t>
      </w:r>
    </w:p>
    <w:p w14:paraId="7EBABCD0">
      <w:pPr>
        <w:keepNext/>
        <w:spacing w:after="40"/>
        <w:jc w:val="center"/>
      </w:pPr>
      <w:r>
        <w:drawing>
          <wp:inline distT="0" distB="0" distL="0" distR="0">
            <wp:extent cx="5486400" cy="3048000"/>
            <wp:effectExtent l="0" t="0" r="0" b="0"/>
            <wp:docPr id="20" name="Picture 20" descr="流程图：558家有效反馈门店中，333家直接形成结果，其中287家直接同意、46家直接拒绝；225家经过进一步沟通形成结果，其中178家同意、47家拒绝。最终465家同意，93家拒绝。" title="流程图：558家有效反馈门店中，333家直接形成结果，其中287家直接同意、46家直接拒绝；225家经过进一步沟通形成结果，其中178家同意、47家拒绝。最终465家同意，93家拒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流程图：558家有效反馈门店中，333家直接形成结果，其中287家直接同意、46家直接拒绝；225家经过进一步沟通形成结果，其中178家同意、47家拒绝。最终465家同意，93家拒绝。" title="流程图：558家有效反馈门店中，333家直接形成结果，其中287家直接同意、46家直接拒绝；225家经过进一步沟通形成结果，其中178家同意、47家拒绝。最终465家同意，93家拒绝。"/>
                    <pic:cNvPicPr>
                      <a:picLocks noChangeAspect="1"/>
                    </pic:cNvPicPr>
                  </pic:nvPicPr>
                  <pic:blipFill>
                    <a:blip r:embed="rId11"/>
                    <a:stretch>
                      <a:fillRect/>
                    </a:stretch>
                  </pic:blipFill>
                  <pic:spPr>
                    <a:xfrm>
                      <a:off x="0" y="0"/>
                      <a:ext cx="5486400" cy="3048000"/>
                    </a:xfrm>
                    <a:prstGeom prst="rect">
                      <a:avLst/>
                    </a:prstGeom>
                  </pic:spPr>
                </pic:pic>
              </a:graphicData>
            </a:graphic>
          </wp:inline>
        </w:drawing>
      </w:r>
    </w:p>
    <w:p w14:paraId="5CEA6362">
      <w:pPr>
        <w:pStyle w:val="174"/>
      </w:pPr>
      <w:r>
        <w:t xml:space="preserve">图</w:t>
      </w:r>
      <w:r>
        <w:t xml:space="preserve">4</w:t>
      </w:r>
      <w:r>
        <w:t xml:space="preserve">　答复形成过程与最终结果（n=558家有效反馈门店）</w:t>
      </w:r>
    </w:p>
    <w:p w14:paraId="26F38F21">
      <w:pPr>
        <w:pStyle w:val="4"/>
      </w:pPr>
      <w:bookmarkStart w:id="8" w:name="_Toc242417905"/>
      <w:bookmarkStart w:id="9" w:name="_Toc239432603"/>
      <w:r>
        <w:t>二 最终拒绝</w:t>
      </w:r>
      <w:bookmarkEnd w:id="8"/>
      <w:bookmarkEnd w:id="9"/>
    </w:p>
    <w:p w14:paraId="7F6273F5">
      <w:pPr>
        <w:keepLines/>
        <w:rPr>
          <w:rFonts w:hint="eastAsia"/>
          <w:lang w:eastAsia="zh-CN"/>
        </w:rPr>
      </w:pPr>
      <w:r>
        <w:rPr>
          <w:rFonts w:hint="eastAsia"/>
          <w:lang w:eastAsia="zh-CN"/>
        </w:rPr>
        <w:t>在样本门店中，最终有93家门店明确拒绝接待导盲犬使用者。其中，46家在首轮沟通中直接回绝，不少门店把导盲犬当作普通宠物；另有47家门店则是在咨询者详尽说明了导盲犬的工作属性、证件资质以及相关法律规定后，依然坚持拒绝。</w:t>
      </w:r>
    </w:p>
    <w:p w14:paraId="7A87FE7C">
      <w:pPr>
        <w:keepLines/>
        <w:rPr>
          <w:rFonts w:hint="eastAsia"/>
          <w:lang w:eastAsia="zh-CN"/>
        </w:rPr>
      </w:pPr>
      <w:r>
        <w:rPr>
          <w:rFonts w:hint="eastAsia"/>
          <w:lang w:eastAsia="zh-CN"/>
        </w:rPr>
        <w:t>前台最初给出的理由往往很直接：</w:t>
      </w:r>
    </w:p>
    <w:p w14:paraId="0B6A0247">
      <w:pPr>
        <w:keepLines/>
        <w:rPr>
          <w:rFonts w:hint="eastAsia"/>
          <w:lang w:eastAsia="zh-CN"/>
        </w:rPr>
      </w:pPr>
      <w:r>
        <w:rPr>
          <w:rFonts w:hint="eastAsia"/>
          <w:lang w:eastAsia="zh-CN"/>
        </w:rPr>
        <w:t>“酒店不让宠物入住。”“其他客人看到会害怕。”</w:t>
      </w:r>
    </w:p>
    <w:p w14:paraId="0E88DF77">
      <w:pPr>
        <w:keepLines/>
        <w:rPr>
          <w:rFonts w:hint="eastAsia"/>
          <w:lang w:eastAsia="zh-CN"/>
        </w:rPr>
      </w:pPr>
      <w:r>
        <w:rPr>
          <w:rFonts w:hint="eastAsia"/>
          <w:lang w:eastAsia="zh-CN"/>
        </w:rPr>
        <w:t>即使咨询者说明了导盲犬的工作属性，一些门店仍会提出其他理由，例如客房卫生、噪音、人身安全、设施损耗，以及其他住客可能投诉或给差评。</w:t>
      </w:r>
    </w:p>
    <w:p w14:paraId="1F39A5F6">
      <w:pPr>
        <w:keepLines/>
        <w:rPr>
          <w:rFonts w:hint="eastAsia"/>
          <w:lang w:eastAsia="zh-CN"/>
        </w:rPr>
      </w:pPr>
      <w:r>
        <w:rPr>
          <w:rFonts w:hint="eastAsia"/>
          <w:lang w:eastAsia="zh-CN"/>
        </w:rPr>
        <w:t>在广州格林豪泰番禺广场店（案例S28）的咨询中，咨询者代朋友询问携犬入住流程，门店表示“人可以进客房，犬只能留在一楼”。当咨询者明确说明视障者依赖导盲犬行动、人犬必须共同入住，并进一步追问具体顾虑时，前台仍退回至内部宠物规定与客诉风险，最终建议“另寻别家”。</w:t>
      </w:r>
    </w:p>
    <w:p w14:paraId="43530BEF">
      <w:pPr>
        <w:keepLines/>
        <w:rPr>
          <w:rFonts w:hint="eastAsia"/>
          <w:lang w:eastAsia="zh-CN"/>
        </w:rPr>
      </w:pPr>
      <w:r>
        <w:rPr>
          <w:rFonts w:hint="eastAsia"/>
          <w:lang w:eastAsia="zh-CN"/>
        </w:rPr>
        <w:t>另一位以使用者本人身份致电的团队成员，在哈尔滨格林豪泰中央大街店（案例S38）初次遭拒后，主动要求查阅门店规定并转接管理人员。在后续通话中，咨询者就规章依据及过往是否真实发生过投诉深入追问；然而值班经理仍以儿童安全、其他住客情绪及过往顾虑为由维持拒绝，并建议他询问其他酒店。</w:t>
      </w:r>
    </w:p>
    <w:p w14:paraId="614955E7">
      <w:pPr>
        <w:keepLines/>
        <w:rPr>
          <w:rFonts w:hint="eastAsia"/>
          <w:lang w:eastAsia="zh-CN"/>
        </w:rPr>
      </w:pPr>
      <w:r>
        <w:rPr>
          <w:rFonts w:hint="eastAsia"/>
          <w:lang w:eastAsia="zh-CN"/>
        </w:rPr>
        <w:t xml:space="preserve">在这两个案例中，咨询者一再追问，结果也没有改变。</w:t>
      </w:r>
      <w:r>
        <w:rPr>
          <w:rFonts w:hint="eastAsia"/>
          <w:lang w:eastAsia="zh-CN"/>
        </w:rPr>
        <w:t xml:space="preserve">能否入住，本不该取决于咨询者是否坚持追问。</w:t>
      </w:r>
    </w:p>
    <w:p w14:paraId="2B361348">
      <w:pPr>
        <w:pStyle w:val="4"/>
      </w:pPr>
      <w:bookmarkStart w:id="10" w:name="_Toc239432604"/>
      <w:bookmarkStart w:id="11" w:name="_Toc242417906"/>
      <w:r>
        <w:t>三 沟通负担</w:t>
      </w:r>
      <w:bookmarkEnd w:id="10"/>
      <w:bookmarkEnd w:id="11"/>
    </w:p>
    <w:p w14:paraId="548E818E">
      <w:r>
        <w:rPr>
          <w:rFonts w:hint="eastAsia"/>
        </w:rPr>
        <w:t>在558家有效反馈门店中，共记录了782次独立通话，平均每家门店需通话1.4次。其中，371家门店通过1次通话即可得出明确结果（占66.5%）；而需要2次及以上独立通话的门店达187家，占三分之一（33.5%）——包括经历2次通话的155家、3次通话的27家，以及经历了4次通话的5家。</w:t>
      </w:r>
    </w:p>
    <w:p w14:paraId="7A0CFA9A">
      <w:pPr>
        <w:keepNext/>
        <w:spacing w:after="40"/>
        <w:jc w:val="center"/>
      </w:pPr>
      <w:r>
        <w:drawing>
          <wp:inline distT="0" distB="0" distL="0" distR="0">
            <wp:extent cx="5486400" cy="3291840"/>
            <wp:effectExtent l="0" t="0" r="0" b="0"/>
            <wp:docPr id="21" name="Picture 21" descr="横向条形图：371家通过1次独立通话得到答复，155家需要2次，27家需要3次，5家需要4次；187家即33.5%需要2次及以上。" title="横向条形图：371家通过1次独立通话得到答复，155家需要2次，27家需要3次，5家需要4次；187家即33.5%需要2次及以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横向条形图：371家通过1次独立通话得到答复，155家需要2次，27家需要3次，5家需要4次；187家即33.5%需要2次及以上。" title="横向条形图：371家通过1次独立通话得到答复，155家需要2次，27家需要3次，5家需要4次；187家即33.5%需要2次及以上。"/>
                    <pic:cNvPicPr>
                      <a:picLocks noChangeAspect="1"/>
                    </pic:cNvPicPr>
                  </pic:nvPicPr>
                  <pic:blipFill>
                    <a:blip r:embed="rId12"/>
                    <a:stretch>
                      <a:fillRect/>
                    </a:stretch>
                  </pic:blipFill>
                  <pic:spPr>
                    <a:xfrm>
                      <a:off x="0" y="0"/>
                      <a:ext cx="5486400" cy="3291840"/>
                    </a:xfrm>
                    <a:prstGeom prst="rect">
                      <a:avLst/>
                    </a:prstGeom>
                  </pic:spPr>
                </pic:pic>
              </a:graphicData>
            </a:graphic>
          </wp:inline>
        </w:drawing>
      </w:r>
    </w:p>
    <w:p w14:paraId="5EF6D3DD">
      <w:pPr>
        <w:pStyle w:val="174"/>
      </w:pPr>
      <w:r>
        <w:t xml:space="preserve">图</w:t>
      </w:r>
      <w:r>
        <w:t xml:space="preserve">5</w:t>
      </w:r>
      <w:r>
        <w:t xml:space="preserve">　独立通话次数分布（n=558家有效反馈门店）</w:t>
      </w:r>
    </w:p>
    <w:p w14:paraId="3B33F706">
      <w:pPr>
        <w:keepLines/>
        <w:rPr>
          <w:rFonts w:hint="eastAsia"/>
        </w:rPr>
      </w:pPr>
      <w:r>
        <w:rPr>
          <w:rFonts w:hint="eastAsia"/>
        </w:rPr>
        <w:t xml:space="preserve">常见的沟通路径是：咨询者说明需求，前台请示经理或集团客服，再由门店回复。一次独立通话既可能直接得出接纳或拒绝的结论，也可能包含解释、转接和等待。通话次数已经记录了反复联系的负担，但没有计入每次解释、转接和等待的时长。使用者为获得明确答复承担的全部时间与精力成本，尚待进一步测量（</w:t>
      </w:r>
      <w:r>
        <w:rPr>
          <w:rFonts w:hint="eastAsia"/>
        </w:rPr>
        <w:t xml:space="preserve">后续可依据录音测量通话和等待时长，</w:t>
      </w:r>
      <w:r>
        <w:rPr>
          <w:rFonts w:hint="eastAsia"/>
        </w:rPr>
        <w:t xml:space="preserve">见附录七）。</w:t>
      </w:r>
    </w:p>
    <w:p w14:paraId="3645851C">
      <w:pPr>
        <w:keepLines/>
        <w:rPr>
          <w:rFonts w:hint="eastAsia"/>
        </w:rPr>
      </w:pPr>
      <w:r>
        <w:rPr>
          <w:rFonts w:hint="eastAsia"/>
        </w:rPr>
        <w:t xml:space="preserve">前台没有清楚的接待标准时，即使同意接待，也可能说不清准备事项。在广州7天东风东路杨箕地铁站店（案例S07）的咨询中，前台起初</w:t>
      </w:r>
      <w:r>
        <w:rPr>
          <w:rFonts w:hint="eastAsia"/>
        </w:rPr>
        <w:t xml:space="preserve">以“动物不能入内”为由直接拒绝。咨询者进一步说明了导盲犬的工作属性，并指出第三方预订平台已明确标注支持服务型动物；前台随后表示需请示负责人，并请咨询者两小时后再行致电。此后，前台虽主动回电确认可以接待入住，但当咨询者追问具体核验要求时，对方仅告知需携带常规个人身份证件，对是否查验导盲犬工作证及免疫证明依然无法说清。</w:t>
      </w:r>
    </w:p>
    <w:p w14:paraId="55716A5D">
      <w:pPr>
        <w:keepLines/>
        <w:rPr>
          <w:rFonts w:hint="eastAsia"/>
        </w:rPr>
      </w:pPr>
      <w:r>
        <w:rPr>
          <w:rFonts w:hint="eastAsia"/>
        </w:rPr>
        <w:t xml:space="preserve">导盲犬使用者提出的是受法律保障的住宿需求。能否入住，不应取决于当天遇到的前台或经理是否有爱心。作为公共服务提供者，酒店理应主动、规范地向顾客告知适用的查验标准、费用规则及入住安排，保障其提前规划行程的知情权</w:t>
      </w:r>
      <w:r>
        <w:rPr>
          <w:rFonts w:hint="eastAsia"/>
        </w:rPr>
        <w:t xml:space="preserve">；否则，</w:t>
      </w:r>
      <w:r>
        <w:rPr>
          <w:rFonts w:hint="eastAsia"/>
        </w:rPr>
        <w:t xml:space="preserve">即使得到可以接待的答复，使用者</w:t>
      </w:r>
      <w:r>
        <w:rPr>
          <w:rFonts w:hint="eastAsia"/>
        </w:rPr>
        <w:t xml:space="preserve">也要一项项追问</w:t>
      </w:r>
      <w:r>
        <w:rPr>
          <w:rFonts w:hint="eastAsia"/>
        </w:rPr>
        <w:t xml:space="preserve">，这本身就是额外负担。</w:t>
      </w:r>
    </w:p>
    <w:p w14:paraId="183E87E4">
      <w:pPr>
        <w:pStyle w:val="4"/>
      </w:pPr>
      <w:bookmarkStart w:id="12" w:name="_Toc242417907"/>
      <w:bookmarkStart w:id="13" w:name="_Toc239432605"/>
      <w:r>
        <w:t>四 附带条件接纳</w:t>
      </w:r>
      <w:bookmarkEnd w:id="12"/>
      <w:bookmarkEnd w:id="13"/>
    </w:p>
    <w:p w14:paraId="6AFFB131">
      <w:pPr>
        <w:keepLines/>
        <w:rPr>
          <w:rFonts w:hint="eastAsia"/>
        </w:rPr>
      </w:pPr>
      <w:r>
        <w:rPr>
          <w:rFonts w:hint="eastAsia"/>
        </w:rPr>
        <w:t xml:space="preserve">558家有效反馈门店中，无附</w:t>
      </w:r>
      <w:r>
        <w:rPr>
          <w:rFonts w:hint="eastAsia"/>
        </w:rPr>
        <w:t xml:space="preserve">带</w:t>
      </w:r>
      <w:r>
        <w:rPr>
          <w:rFonts w:hint="eastAsia"/>
        </w:rPr>
        <w:t xml:space="preserve">条件接纳的门店为379家（占67.9%）；附带条件接纳的门店有86家（占全部样本的15.4%，占最终接纳门店的18.5%）；最终拒绝的门店为93家（占16.7%）。统计结果表明，“同意入住”并不等于享有与其他住客平等的消费条件。</w:t>
      </w:r>
    </w:p>
    <w:p w14:paraId="5240498B">
      <w:pPr>
        <w:keepLines/>
        <w:rPr>
          <w:rFonts w:hint="eastAsia"/>
        </w:rPr>
      </w:pPr>
      <w:r>
        <w:rPr>
          <w:rFonts w:hint="eastAsia"/>
        </w:rPr>
        <w:t>这86家门店提出的要求包括以下几类，同一家门店可能同时提出多项：</w:t>
      </w:r>
    </w:p>
    <w:p w14:paraId="19C57509">
      <w:pPr>
        <w:pStyle w:val="16"/>
        <w:keepLines/>
        <w:rPr>
          <w:rFonts w:hint="eastAsia"/>
        </w:rPr>
      </w:pPr>
      <w:r>
        <w:rPr>
          <w:rFonts w:hint="eastAsia"/>
        </w:rPr>
        <w:t>经济负担（50家）：额外加收押金或清洁费（如套用宠物收费标准）；</w:t>
      </w:r>
    </w:p>
    <w:p w14:paraId="066A7D5E">
      <w:pPr>
        <w:pStyle w:val="16"/>
        <w:keepLines/>
        <w:rPr>
          <w:rFonts w:hint="eastAsia"/>
        </w:rPr>
      </w:pPr>
      <w:r>
        <w:rPr>
          <w:rFonts w:hint="eastAsia"/>
        </w:rPr>
        <w:t>行为要求（26家）：对导盲犬提出夜间不吠叫、不上床、不在房间大小便等行为要求；</w:t>
      </w:r>
    </w:p>
    <w:p w14:paraId="759D4196">
      <w:pPr>
        <w:pStyle w:val="16"/>
        <w:keepLines/>
        <w:rPr>
          <w:rFonts w:hint="eastAsia"/>
        </w:rPr>
      </w:pPr>
      <w:r>
        <w:rPr>
          <w:rFonts w:hint="eastAsia"/>
        </w:rPr>
        <w:t>免责要求（13家）：强制要求签署免责协议或责任承诺书；</w:t>
      </w:r>
    </w:p>
    <w:p w14:paraId="2714D0F9">
      <w:pPr>
        <w:pStyle w:val="16"/>
        <w:keepLines/>
        <w:rPr>
          <w:rFonts w:hint="eastAsia"/>
        </w:rPr>
      </w:pPr>
      <w:r>
        <w:rPr>
          <w:rFonts w:hint="eastAsia"/>
        </w:rPr>
        <w:t>活动范围限制（12家）：限制导盲犬在酒店公共区域的通行与活动范围；</w:t>
      </w:r>
    </w:p>
    <w:p w14:paraId="6DB797EE">
      <w:pPr>
        <w:pStyle w:val="16"/>
        <w:keepLines/>
        <w:rPr>
          <w:rFonts w:hint="eastAsia"/>
        </w:rPr>
      </w:pPr>
      <w:r>
        <w:rPr>
          <w:rFonts w:hint="eastAsia"/>
        </w:rPr>
        <w:t xml:space="preserve">区别性房间安排（7家）：</w:t>
      </w:r>
      <w:r>
        <w:rPr>
          <w:rFonts w:hint="eastAsia"/>
        </w:rPr>
        <w:t xml:space="preserve">只安排特定房间（如</w:t>
      </w:r>
      <w:r>
        <w:rPr>
          <w:rFonts w:hint="eastAsia"/>
        </w:rPr>
        <w:t xml:space="preserve">尾房、一楼或指定</w:t>
      </w:r>
      <w:r>
        <w:rPr>
          <w:rFonts w:hint="eastAsia"/>
        </w:rPr>
        <w:t xml:space="preserve">的</w:t>
      </w:r>
      <w:r>
        <w:rPr>
          <w:rFonts w:hint="eastAsia"/>
        </w:rPr>
        <w:t xml:space="preserve">非</w:t>
      </w:r>
      <w:r>
        <w:rPr>
          <w:rFonts w:hint="eastAsia"/>
        </w:rPr>
        <w:t xml:space="preserve">地毯房）。</w:t>
      </w:r>
    </w:p>
    <w:p w14:paraId="4C3A8B87">
      <w:pPr>
        <w:keepLines/>
        <w:rPr>
          <w:rFonts w:hint="eastAsia"/>
        </w:rPr>
      </w:pPr>
      <w:r>
        <w:rPr>
          <w:rFonts w:hint="eastAsia"/>
        </w:rPr>
        <w:t>本报告将这些要求记为“附带条件”，因为门店把它们作为接待导盲犬使用者的前提单独提出，而不是对所有住客一致适用的入住须知。</w:t>
      </w:r>
    </w:p>
    <w:p w14:paraId="5883129C">
      <w:pPr>
        <w:keepLines/>
        <w:rPr>
          <w:rFonts w:hint="eastAsia"/>
        </w:rPr>
      </w:pPr>
      <w:r>
        <w:rPr>
          <w:rFonts w:hint="eastAsia"/>
        </w:rPr>
        <w:t xml:space="preserve">这些附带条件</w:t>
      </w:r>
      <w:r>
        <w:rPr>
          <w:rFonts w:hint="eastAsia"/>
        </w:rPr>
        <w:t xml:space="preserve">把额外的费用、限制和交涉成本留给了使用者。社群伙伴在实际预订时，有时只能先解决当晚住宿，再逐项弄清这些条件会造成什么影响：加收的款项究竟是可退押金还是服务费？被指定的房型会不会更贵？活动范围受限会不会影响正常出行？继续交涉、改订或投诉，都需要时间和精力。接受安排，不能据此推断使用者认可这些条件。</w:t>
      </w:r>
    </w:p>
    <w:p w14:paraId="3E986366">
      <w:pPr>
        <w:keepLines/>
        <w:rPr>
          <w:rFonts w:hint="eastAsia"/>
        </w:rPr>
      </w:pPr>
      <w:r>
        <w:rPr>
          <w:rFonts w:hint="eastAsia"/>
        </w:rPr>
        <w:t>贵阳如家火车站鸿通城购物中心店（案例S11）是一个例子。咨询者代朋友致电时，门店起初以硬件设施不匹配、房间布局受限、隔音问题及过往宠物损坏地板等顾虑直接回绝。在咨询者逐一回应并说明该店紧邻行程目的地、请求酌情协调后，门店改为可以接待，但要求预订面积较大的家庭房，并携带犬的证件。</w:t>
      </w:r>
    </w:p>
    <w:p w14:paraId="57BBAB80">
      <w:pPr>
        <w:keepLines/>
      </w:pPr>
      <w:r>
        <w:rPr>
          <w:rFonts w:hint="eastAsia"/>
        </w:rPr>
        <w:t xml:space="preserve">面对这一附</w:t>
      </w:r>
      <w:r>
        <w:rPr>
          <w:rFonts w:hint="eastAsia"/>
        </w:rPr>
        <w:t xml:space="preserve">带</w:t>
      </w:r>
      <w:r>
        <w:rPr>
          <w:rFonts w:hint="eastAsia"/>
        </w:rPr>
        <w:t xml:space="preserve">条件，咨询者表示“需再行确认后决定”。价格和位置本是普通的住宿考量；门店要求改订家庭房后，咨询者还要重新算房型、预算和行程。这家酒店离目的地近，换一家就要重新找住处，这也是使用者常常难以直接拒绝附带条件的原因。</w:t>
      </w:r>
    </w:p>
    <w:p w14:paraId="293C3894">
      <w:pPr>
        <w:pStyle w:val="4"/>
      </w:pPr>
      <w:bookmarkStart w:id="14" w:name="_Toc239432606"/>
      <w:bookmarkStart w:id="15" w:name="_Toc242417909"/>
      <w:r>
        <w:t>五 品牌与城市的接待差异</w:t>
      </w:r>
      <w:bookmarkEnd w:id="14"/>
      <w:bookmarkEnd w:id="15"/>
    </w:p>
    <w:p w14:paraId="06A7656D">
      <w:pPr>
        <w:rPr>
          <w:rFonts w:hint="eastAsia"/>
        </w:rPr>
      </w:pPr>
      <w:r>
        <w:rPr>
          <w:rFonts w:hint="eastAsia"/>
        </w:rPr>
        <w:t>调研发现，即便隶属于同一连锁品牌，不同门店在面对导盲犬使用者的入住咨询时，给出的答复也不一致。社群伙伴很难仅凭品牌来预判某家具体门店的接纳态度；用许多视障伙伴的话来说，每一次预订酒店都像是在“开盲盒”。大家会互相转告哪些门店接待过、哪些门店拒绝过。这些口耳相传的经验很宝贵，但查清接待规则本是酒店和平台的工作，不应靠社群自己摸索。</w:t>
      </w:r>
    </w:p>
    <w:p w14:paraId="06534708">
      <w:pPr>
        <w:rPr>
          <w:rFonts w:hint="eastAsia"/>
        </w:rPr>
      </w:pPr>
      <w:r>
        <w:rPr>
          <w:rFonts w:hint="eastAsia"/>
          <w:lang w:val="en-US" w:eastAsia="zh-CN"/>
        </w:rPr>
        <w:t>酒店接待</w:t>
      </w:r>
      <w:r>
        <w:rPr>
          <w:rFonts w:hint="eastAsia"/>
        </w:rPr>
        <w:t>差异表现在三方面：第一次询问能否得到同意，后续要沟通几次，同意后有无附带条件。下文比较各品牌的首次答复和附带条件；关于各品牌与城市的综合指数表现，详见报告开篇的“品牌与城市排行”。</w:t>
      </w:r>
    </w:p>
    <w:p w14:paraId="4CD8B77D">
      <w:pPr>
        <w:pStyle w:val="5"/>
      </w:pPr>
      <w:r>
        <w:t>（一）首次答复与最终拒绝</w:t>
      </w:r>
    </w:p>
    <w:p w14:paraId="7E676E80">
      <w:pPr>
        <w:keepNext w:val="0"/>
        <w:spacing w:after="78"/>
        <w:rPr>
          <w:rFonts w:hint="eastAsia" w:ascii="Times New Roman" w:hAnsi="Times New Roman" w:cs="Times New Roman"/>
          <w:color w:val="000000"/>
          <w:sz w:val="22"/>
        </w:rPr>
      </w:pPr>
      <w:r>
        <w:rPr>
          <w:rFonts w:hint="eastAsia" w:ascii="Times New Roman" w:hAnsi="Times New Roman" w:cs="Times New Roman"/>
          <w:color w:val="000000"/>
          <w:sz w:val="22"/>
        </w:rPr>
        <w:t xml:space="preserve">第一次询问能否得到同意，关系到使用者是否还要继续解释和等待；最终拒绝则意味着这家门店不能提供所需住宿，使用者需要另找酒店。图</w:t>
      </w:r>
      <w:r>
        <w:rPr>
          <w:rFonts w:hint="eastAsia" w:ascii="Times New Roman" w:hAnsi="Times New Roman" w:cs="Times New Roman"/>
          <w:color w:val="000000"/>
          <w:sz w:val="22"/>
        </w:rPr>
        <w:t xml:space="preserve">6</w:t>
      </w:r>
      <w:r>
        <w:rPr>
          <w:rFonts w:hint="eastAsia" w:ascii="Times New Roman" w:hAnsi="Times New Roman" w:cs="Times New Roman"/>
          <w:color w:val="000000"/>
          <w:sz w:val="22"/>
        </w:rPr>
        <w:t xml:space="preserve">比较10个品牌样本的直接同意率和最终拒绝率。</w:t>
      </w:r>
    </w:p>
    <w:p w14:paraId="43D8B966">
      <w:pPr>
        <w:keepNext/>
        <w:spacing w:after="40"/>
        <w:jc w:val="center"/>
      </w:pPr>
      <w:r>
        <w:drawing>
          <wp:inline distT="0" distB="0" distL="0" distR="0">
            <wp:extent cx="5486400" cy="4541520"/>
            <wp:effectExtent l="0" t="0" r="0" b="0"/>
            <wp:docPr id="22" name="Picture 22" descr="各品牌水平条形图，绿色表示直接同意，红色表示最终拒绝。全季和汉庭直接同意率较高；格林豪泰和尚客优选最终拒绝率较高。每行标注品牌样本数、门店数和百分比。" title="各品牌水平条形图，绿色表示直接同意，红色表示最终拒绝。全季和汉庭直接同意率较高；格林豪泰和尚客优选最终拒绝率较高。每行标注品牌样本数、门店数和百分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各品牌水平条形图，绿色表示直接同意，红色表示最终拒绝。全季和汉庭直接同意率较高；格林豪泰和尚客优选最终拒绝率较高。每行标注品牌样本数、门店数和百分比。" title="各品牌水平条形图，绿色表示直接同意，红色表示最终拒绝。全季和汉庭直接同意率较高；格林豪泰和尚客优选最终拒绝率较高。每行标注品牌样本数、门店数和百分比。"/>
                    <pic:cNvPicPr>
                      <a:picLocks noChangeAspect="1"/>
                    </pic:cNvPicPr>
                  </pic:nvPicPr>
                  <pic:blipFill>
                    <a:blip r:embed="rId13"/>
                    <a:stretch>
                      <a:fillRect/>
                    </a:stretch>
                  </pic:blipFill>
                  <pic:spPr>
                    <a:xfrm>
                      <a:off x="0" y="0"/>
                      <a:ext cx="5486400" cy="4541520"/>
                    </a:xfrm>
                    <a:prstGeom prst="rect">
                      <a:avLst/>
                    </a:prstGeom>
                  </pic:spPr>
                </pic:pic>
              </a:graphicData>
            </a:graphic>
          </wp:inline>
        </w:drawing>
      </w:r>
    </w:p>
    <w:p w14:paraId="6C4D606F">
      <w:pPr>
        <w:pStyle w:val="174"/>
      </w:pPr>
      <w:r>
        <w:t xml:space="preserve">图</w:t>
      </w:r>
      <w:r>
        <w:t xml:space="preserve">6</w:t>
      </w:r>
      <w:r>
        <w:t xml:space="preserve">　各品牌直接同意率与最终拒绝率（各品牌n=47—60家）</w:t>
      </w:r>
    </w:p>
    <w:p w14:paraId="05281565">
      <w:pPr>
        <w:rPr>
          <w:rFonts w:hint="eastAsia"/>
        </w:rPr>
      </w:pPr>
      <w:r>
        <w:rPr>
          <w:rFonts w:hint="eastAsia"/>
        </w:rPr>
        <w:t>调研数据显示，品牌之间的接待表现差距明显：</w:t>
      </w:r>
    </w:p>
    <w:p w14:paraId="51E3EA8E">
      <w:pPr>
        <w:pStyle w:val="16"/>
        <w:rPr>
          <w:rFonts w:hint="eastAsia"/>
        </w:rPr>
      </w:pPr>
      <w:r>
        <w:rPr>
          <w:rFonts w:hint="eastAsia"/>
        </w:rPr>
        <w:t>全季和汉庭的直接同意率分别为79.3%和74.1%，最终拒绝率分别为12.1%和8.6%；</w:t>
      </w:r>
    </w:p>
    <w:p w14:paraId="26C4E2D0">
      <w:pPr>
        <w:pStyle w:val="16"/>
        <w:rPr>
          <w:rFonts w:hint="eastAsia"/>
        </w:rPr>
      </w:pPr>
      <w:r>
        <w:rPr>
          <w:rFonts w:hint="eastAsia"/>
        </w:rPr>
        <w:t>格林豪泰和尚客优选的直接同意率分别为29.1%和27.7%，最终拒绝率分别为32.7%和31.9%，即约三成样本门店最终拒绝。</w:t>
      </w:r>
    </w:p>
    <w:p w14:paraId="7BF8B53B">
      <w:r>
        <w:rPr>
          <w:rFonts w:hint="eastAsia"/>
        </w:rPr>
        <w:t>以全季为例：在58家样本门店中，46家在首轮直接同意，5家经过沟通后予以接纳，但仍有7家最终坚持拒绝。也就是说，即使在直接同意率最高的品牌，仍有约八分之一的样本门店最终拒绝。</w:t>
      </w:r>
    </w:p>
    <w:p w14:paraId="03F038ED">
      <w:pPr>
        <w:pStyle w:val="5"/>
      </w:pPr>
      <w:r>
        <w:t>（二）接纳后的附带条件</w:t>
      </w:r>
    </w:p>
    <w:p w14:paraId="0F4D8F6C">
      <w:pPr>
        <w:keepNext/>
        <w:spacing w:after="40"/>
        <w:jc w:val="center"/>
      </w:pPr>
      <w:r>
        <w:drawing>
          <wp:inline distT="0" distB="0" distL="0" distR="0">
            <wp:extent cx="5486400" cy="4175760"/>
            <wp:effectExtent l="0" t="0" r="0" b="0"/>
            <wp:docPr id="24" name="Picture 24" descr="百分比堆叠条形图，分别显示无附加条件接纳、附带条件接纳和最终拒绝。附带条件采用86家人工复核编码；每个品牌标注样本数。" title="百分比堆叠条形图，分别显示无附加条件接纳、附带条件接纳和最终拒绝。附带条件采用86家人工复核编码；每个品牌标注样本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百分比堆叠条形图，分别显示无附加条件接纳、附带条件接纳和最终拒绝。附带条件采用86家人工复核编码；每个品牌标注样本数。" title="百分比堆叠条形图，分别显示无附加条件接纳、附带条件接纳和最终拒绝。附带条件采用86家人工复核编码；每个品牌标注样本数。"/>
                    <pic:cNvPicPr>
                      <a:picLocks noChangeAspect="1"/>
                    </pic:cNvPicPr>
                  </pic:nvPicPr>
                  <pic:blipFill>
                    <a:blip r:embed="rId14"/>
                    <a:stretch>
                      <a:fillRect/>
                    </a:stretch>
                  </pic:blipFill>
                  <pic:spPr>
                    <a:xfrm>
                      <a:off x="0" y="0"/>
                      <a:ext cx="5486400" cy="4175760"/>
                    </a:xfrm>
                    <a:prstGeom prst="rect">
                      <a:avLst/>
                    </a:prstGeom>
                  </pic:spPr>
                </pic:pic>
              </a:graphicData>
            </a:graphic>
          </wp:inline>
        </w:drawing>
      </w:r>
    </w:p>
    <w:p w14:paraId="2D83E6CC">
      <w:pPr>
        <w:pStyle w:val="174"/>
      </w:pPr>
      <w:r>
        <w:t xml:space="preserve">图</w:t>
      </w:r>
      <w:r>
        <w:t xml:space="preserve">7</w:t>
      </w:r>
      <w:r>
        <w:t xml:space="preserve">　各品牌接纳结果与附带条件（各品牌n=47—60家）</w:t>
      </w:r>
    </w:p>
    <w:p w14:paraId="52ACB789">
      <w:pPr>
        <w:rPr>
          <w:rFonts w:hint="eastAsia"/>
        </w:rPr>
      </w:pPr>
      <w:r>
        <w:rPr>
          <w:rFonts w:hint="eastAsia"/>
        </w:rPr>
        <w:t>附带条件和最终拒绝是两类不同问题。</w:t>
      </w:r>
      <w:r>
        <w:rPr>
          <w:rFonts w:hint="eastAsia"/>
        </w:rPr>
        <w:t xml:space="preserve">例如，维也纳、城市便捷和麗枫的最终拒绝率在各品牌中并不突出，但附带条件接纳比例分别为27.6%、26.5%和23.3%，即约四分之一的样本门店在同意接待时提出了附</w:t>
      </w:r>
      <w:r>
        <w:rPr>
          <w:rFonts w:hint="eastAsia"/>
        </w:rPr>
        <w:t xml:space="preserve">带</w:t>
      </w:r>
      <w:r>
        <w:rPr>
          <w:rFonts w:hint="eastAsia"/>
        </w:rPr>
        <w:t xml:space="preserve">条件。</w:t>
      </w:r>
    </w:p>
    <w:p w14:paraId="1E9F05D9">
      <w:r>
        <w:rPr>
          <w:rFonts w:hint="eastAsia"/>
        </w:rPr>
        <w:t xml:space="preserve">汉庭、全季、7天和锦江之星的最终接纳率较为接近，在87.5%至91.4%之间，</w:t>
      </w:r>
      <w:r>
        <w:rPr>
          <w:rFonts w:hint="eastAsia"/>
        </w:rPr>
        <w:t xml:space="preserve">差异主要在接纳方式：</w:t>
      </w:r>
      <w:r>
        <w:rPr>
          <w:rFonts w:hint="eastAsia"/>
        </w:rPr>
        <w:t xml:space="preserve">四个品牌的附带条件接纳率分别为6.9%、5.2%、10.5%和16.1%</w:t>
      </w:r>
      <w:r>
        <w:rPr>
          <w:rFonts w:hint="eastAsia"/>
        </w:rPr>
        <w:t xml:space="preserve">，</w:t>
      </w:r>
      <w:r>
        <w:rPr>
          <w:rFonts w:hint="eastAsia"/>
        </w:rPr>
        <w:t>其中</w:t>
      </w:r>
      <w:r>
        <w:rPr>
          <w:rFonts w:hint="eastAsia"/>
        </w:rPr>
        <w:t xml:space="preserve">锦江之星近六分之一的样本门店</w:t>
      </w:r>
      <w:r>
        <w:rPr>
          <w:rFonts w:hint="eastAsia"/>
        </w:rPr>
        <w:t xml:space="preserve">在同意入住的同时，</w:t>
      </w:r>
      <w:r>
        <w:rPr>
          <w:rFonts w:hint="eastAsia"/>
        </w:rPr>
        <w:t xml:space="preserve">提出了额外收费、免责协议、房间安排或活动范围等条件。</w:t>
      </w:r>
    </w:p>
    <w:p w14:paraId="006A9213">
      <w:pPr>
        <w:pStyle w:val="4"/>
      </w:pPr>
      <w:bookmarkStart w:id="16" w:name="_Toc242417910"/>
      <w:bookmarkStart w:id="17" w:name="_Toc239432608"/>
      <w:r>
        <w:t>六 研究发现小结</w:t>
      </w:r>
      <w:bookmarkEnd w:id="16"/>
      <w:bookmarkEnd w:id="17"/>
    </w:p>
    <w:p w14:paraId="5777EC51">
      <w:pPr>
        <w:rPr>
          <w:rFonts w:hint="eastAsia"/>
          <w:lang w:eastAsia="zh-CN"/>
        </w:rPr>
      </w:pPr>
      <w:r>
        <w:rPr>
          <w:rFonts w:hint="eastAsia"/>
          <w:lang w:eastAsia="zh-CN"/>
        </w:rPr>
        <w:t>本次电话咨询记录了三类障碍：拒绝接待、沟通负担和附带条件接纳。它们可能在同一次咨询中同时出现：</w:t>
      </w:r>
    </w:p>
    <w:p w14:paraId="79CCACF0">
      <w:pPr>
        <w:rPr>
          <w:rFonts w:hint="eastAsia"/>
          <w:lang w:eastAsia="zh-CN"/>
        </w:rPr>
      </w:pPr>
      <w:r>
        <w:rPr>
          <w:rFonts w:hint="eastAsia"/>
          <w:lang w:eastAsia="zh-CN"/>
        </w:rPr>
        <w:t xml:space="preserve">第一</w:t>
      </w:r>
      <w:r>
        <w:rPr>
          <w:rFonts w:hint="eastAsia"/>
          <w:lang w:eastAsia="zh-CN"/>
        </w:rPr>
        <w:t xml:space="preserve">类</w:t>
      </w:r>
      <w:r>
        <w:rPr>
          <w:rFonts w:hint="eastAsia"/>
          <w:lang w:eastAsia="zh-CN"/>
        </w:rPr>
        <w:t xml:space="preserve">障碍是拒绝接待。共有93家门店明确拒</w:t>
      </w:r>
      <w:r>
        <w:rPr>
          <w:rFonts w:hint="eastAsia"/>
          <w:lang w:eastAsia="zh-CN"/>
        </w:rPr>
        <w:t xml:space="preserve">绝接待</w:t>
      </w:r>
      <w:r>
        <w:rPr>
          <w:rFonts w:hint="eastAsia"/>
          <w:lang w:eastAsia="zh-CN"/>
        </w:rPr>
        <w:t xml:space="preserve">（占16.7%）：其中46家在首轮直接回绝，另有47家即便在咨询者详细说明法律依据与工作犬属性后，依然维持拒绝。</w:t>
      </w:r>
    </w:p>
    <w:p w14:paraId="26406E73">
      <w:pPr>
        <w:rPr>
          <w:rFonts w:hint="eastAsia"/>
          <w:lang w:eastAsia="zh-CN"/>
        </w:rPr>
      </w:pPr>
      <w:r>
        <w:rPr>
          <w:rFonts w:hint="eastAsia"/>
          <w:lang w:eastAsia="zh-CN"/>
        </w:rPr>
        <w:t xml:space="preserve">第二</w:t>
      </w:r>
      <w:r>
        <w:rPr>
          <w:rFonts w:hint="eastAsia"/>
          <w:lang w:eastAsia="zh-CN"/>
        </w:rPr>
        <w:t xml:space="preserve">类</w:t>
      </w:r>
      <w:r>
        <w:rPr>
          <w:rFonts w:hint="eastAsia"/>
          <w:lang w:eastAsia="zh-CN"/>
        </w:rPr>
        <w:t xml:space="preserve">障碍是沟通负担。33.5%的门店（187家）需要2次及以上独立通话方能得出答复；只记录1次通话的门店中，也有一些需要解释、等待或内部确认。</w:t>
      </w:r>
    </w:p>
    <w:p w14:paraId="6D31432D">
      <w:pPr>
        <w:rPr>
          <w:rFonts w:hint="eastAsia"/>
          <w:lang w:eastAsia="zh-CN"/>
        </w:rPr>
      </w:pPr>
      <w:r>
        <w:rPr>
          <w:rFonts w:hint="eastAsia"/>
          <w:lang w:eastAsia="zh-CN"/>
        </w:rPr>
        <w:t xml:space="preserve">第三</w:t>
      </w:r>
      <w:r>
        <w:rPr>
          <w:rFonts w:hint="eastAsia"/>
          <w:lang w:eastAsia="zh-CN"/>
        </w:rPr>
        <w:t xml:space="preserve">类</w:t>
      </w:r>
      <w:r>
        <w:rPr>
          <w:rFonts w:hint="eastAsia"/>
          <w:lang w:eastAsia="zh-CN"/>
        </w:rPr>
        <w:t xml:space="preserve">障碍是附带条件接纳。86家门店同意接待但提出附</w:t>
      </w:r>
      <w:r>
        <w:rPr>
          <w:rFonts w:hint="eastAsia"/>
          <w:lang w:eastAsia="zh-CN"/>
        </w:rPr>
        <w:t xml:space="preserve">带</w:t>
      </w:r>
      <w:r>
        <w:rPr>
          <w:rFonts w:hint="eastAsia"/>
          <w:lang w:eastAsia="zh-CN"/>
        </w:rPr>
        <w:t xml:space="preserve">条件（占全部样本的15.4%，占最终接纳门店的18.5%），包括加收押金或清洁费、要求签署免责协议、限制活动范围或指定房间。</w:t>
      </w:r>
    </w:p>
    <w:p w14:paraId="208D0611">
      <w:pPr>
        <w:rPr>
          <w:rFonts w:hint="eastAsia"/>
          <w:lang w:eastAsia="zh-CN"/>
        </w:rPr>
      </w:pPr>
      <w:r>
        <w:rPr>
          <w:rFonts w:hint="eastAsia"/>
          <w:lang w:eastAsia="zh-CN"/>
        </w:rPr>
        <w:t>近一半（48.6%）的样本门店没有在第一轮沟通中直接同意；40.3%的门店需要进一步解释、等待或内部确认才形成结果；三分之一（33.5%）需要多次致电。即便最终促成了接纳，近两成（18.5%）的门店仍附带了条件。这些因携带导盲犬而多出来的解释、核验和条件，是普通住客预订时通常不必面对的负担。</w:t>
      </w:r>
    </w:p>
    <w:p w14:paraId="5239D034">
      <w:pPr>
        <w:rPr>
          <w:rFonts w:hint="eastAsia"/>
          <w:lang w:eastAsia="zh-CN"/>
        </w:rPr>
      </w:pPr>
      <w:r>
        <w:rPr>
          <w:rFonts w:hint="eastAsia"/>
          <w:lang w:eastAsia="zh-CN"/>
        </w:rPr>
        <w:t>本次调查只记录电话咨询，没有观察实际入住。团队成员和社群伙伴的住宿经历显示，有人提前确认后，到店仍需重新解释、等待核实，有时甚至被拒绝入住。</w:t>
      </w:r>
    </w:p>
    <w:p w14:paraId="07F0EA43">
      <w:pPr>
        <w:rPr>
          <w:rFonts w:hint="eastAsia"/>
          <w:lang w:eastAsia="zh-CN"/>
        </w:rPr>
      </w:pPr>
      <w:r>
        <w:rPr>
          <w:rFonts w:hint="eastAsia"/>
          <w:lang w:eastAsia="zh-CN"/>
        </w:rPr>
        <w:t>关于品牌与城市之间的差异化表现，详见前文“品牌与城市排行”。同一品牌的不同门店、同一门店的不同接听人员，仍可能给出不同答复。排行可以作为参考，但每联系一家门店，都要重新确认能否接待、怎样接待，这本身就是额外的负担。</w:t>
      </w:r>
    </w:p>
    <w:p w14:paraId="1F9C2F32">
      <w:pPr>
        <w:pStyle w:val="3"/>
        <w:pageBreakBefore/>
      </w:pPr>
      <w:bookmarkStart w:id="18" w:name="_Toc239432609"/>
      <w:bookmarkStart w:id="19" w:name="_Toc242417911"/>
      <w:r>
        <w:rPr>
          <w:rFonts w:ascii="宋体" w:hAnsi="宋体" w:eastAsia="宋体"/>
          <w:b w:val="0"/>
        </w:rPr>
        <w:t>第二章 原因分析</w:t>
      </w:r>
      <w:bookmarkEnd w:id="18"/>
      <w:bookmarkEnd w:id="19"/>
    </w:p>
    <w:p w14:paraId="02CCD732">
      <w:pPr>
        <w:rPr>
          <w:rFonts w:hint="eastAsia"/>
          <w:lang w:eastAsia="zh-CN"/>
        </w:rPr>
      </w:pPr>
      <w:r>
        <w:rPr>
          <w:rFonts w:hint="eastAsia"/>
          <w:lang w:eastAsia="zh-CN"/>
        </w:rPr>
        <w:t xml:space="preserve">《中华人民共和国无障碍环境建设法》已要求公共场所经营管理单位为携带服务犬的残疾人提供便利，但在本次电话样本中，仍有门店最终拒绝、需要咨询者进一步沟通，或在同意时提出附带条件。法律施行已</w:t>
      </w:r>
      <w:r>
        <w:rPr>
          <w:rFonts w:hint="eastAsia"/>
          <w:lang w:eastAsia="zh-CN"/>
        </w:rPr>
        <w:t xml:space="preserve">经三年，</w:t>
      </w:r>
      <w:r>
        <w:rPr>
          <w:rFonts w:hint="eastAsia"/>
          <w:lang w:val="en-US" w:eastAsia="zh-CN"/>
        </w:rPr>
        <w:t xml:space="preserve">导盲犬使用者入住酒店为</w:t>
      </w:r>
      <w:r>
        <w:rPr>
          <w:rFonts w:hint="eastAsia"/>
          <w:lang w:val="en-US" w:eastAsia="zh-CN"/>
        </w:rPr>
        <w:t xml:space="preserve">什么仍会遇到这么多障碍？</w:t>
      </w:r>
      <w:r>
        <w:rPr>
          <w:rFonts w:hint="eastAsia"/>
          <w:lang w:eastAsia="zh-CN"/>
        </w:rPr>
        <w:t>本章分析这些障碍从何而来。</w:t>
      </w:r>
    </w:p>
    <w:p w14:paraId="175C56E5">
      <w:pPr>
        <w:rPr>
          <w:rFonts w:hint="eastAsia"/>
          <w:lang w:eastAsia="zh-CN"/>
        </w:rPr>
      </w:pPr>
      <w:r>
        <w:rPr>
          <w:rFonts w:hint="eastAsia"/>
          <w:lang w:eastAsia="zh-CN"/>
        </w:rPr>
        <w:t xml:space="preserve">本章从两个层面分析原因，并</w:t>
      </w:r>
      <w:r>
        <w:rPr>
          <w:rFonts w:hint="eastAsia"/>
          <w:lang w:eastAsia="zh-CN"/>
        </w:rPr>
        <w:t xml:space="preserve">在第三节</w:t>
      </w:r>
      <w:r>
        <w:rPr>
          <w:rFonts w:hint="eastAsia"/>
          <w:lang w:eastAsia="zh-CN"/>
        </w:rPr>
        <w:t xml:space="preserve">说</w:t>
      </w:r>
      <w:r>
        <w:rPr>
          <w:rFonts w:hint="eastAsia"/>
          <w:lang w:eastAsia="zh-CN"/>
        </w:rPr>
        <w:t xml:space="preserve">明它们如何导向三类接待结果：</w:t>
      </w:r>
    </w:p>
    <w:p w14:paraId="208EC88D">
      <w:pPr>
        <w:pStyle w:val="16"/>
        <w:rPr>
          <w:rFonts w:hint="eastAsia"/>
          <w:lang w:eastAsia="zh-CN"/>
        </w:rPr>
      </w:pPr>
      <w:r>
        <w:rPr>
          <w:rFonts w:hint="eastAsia"/>
          <w:lang w:eastAsia="zh-CN"/>
        </w:rPr>
        <w:t>集团有没有明确规则，规则是否到达接待岗位；</w:t>
      </w:r>
    </w:p>
    <w:p w14:paraId="59B39B65">
      <w:pPr>
        <w:pStyle w:val="16"/>
        <w:rPr>
          <w:rFonts w:hint="eastAsia"/>
          <w:lang w:eastAsia="zh-CN"/>
        </w:rPr>
      </w:pPr>
      <w:r>
        <w:rPr>
          <w:rFonts w:hint="eastAsia"/>
          <w:lang w:eastAsia="zh-CN"/>
        </w:rPr>
        <w:t xml:space="preserve">前台怎样理解导盲犬和视障住客，是否把导盲犬当作普通宠物，或怀疑视障者能否独立入住</w:t>
      </w:r>
      <w:r>
        <w:rPr>
          <w:rFonts w:hint="eastAsia"/>
          <w:lang w:eastAsia="zh-CN"/>
        </w:rPr>
        <w:t xml:space="preserve">。</w:t>
      </w:r>
    </w:p>
    <w:p w14:paraId="45CB4EC1">
      <w:pPr>
        <w:rPr>
          <w:rFonts w:hint="eastAsia"/>
          <w:lang w:eastAsia="zh-CN"/>
        </w:rPr>
      </w:pPr>
      <w:r>
        <w:rPr>
          <w:rFonts w:hint="eastAsia"/>
          <w:lang w:eastAsia="zh-CN"/>
        </w:rPr>
        <w:t xml:space="preserve">分析依据</w:t>
      </w:r>
      <w:r>
        <w:rPr>
          <w:rFonts w:hint="eastAsia"/>
          <w:lang w:eastAsia="zh-CN"/>
        </w:rPr>
        <w:t xml:space="preserve">调研期间（2023—2025年）的</w:t>
      </w:r>
      <w:r>
        <w:rPr>
          <w:rFonts w:hint="eastAsia"/>
          <w:lang w:eastAsia="zh-CN"/>
        </w:rPr>
        <w:t xml:space="preserve">电</w:t>
      </w:r>
      <w:r>
        <w:rPr>
          <w:rFonts w:hint="eastAsia"/>
          <w:lang w:eastAsia="zh-CN"/>
        </w:rPr>
        <w:t xml:space="preserve">话记录、预订平台标注、集团公开材料和客服答复；团队成员和社群伙伴的住宿经历，是判断这些答复和要求实际影响的重要依据。</w:t>
      </w:r>
      <w:r>
        <w:rPr>
          <w:rFonts w:hint="eastAsia"/>
          <w:lang w:eastAsia="zh-CN"/>
        </w:rPr>
        <w:t xml:space="preserve">2026年10月的公开信息补充单列于本章一（二），不改变上述记录和分析结果。</w:t>
      </w:r>
    </w:p>
    <w:p w14:paraId="45985CE1">
      <w:pPr>
        <w:pStyle w:val="4"/>
      </w:pPr>
      <w:bookmarkStart w:id="20" w:name="_Toc239432610"/>
      <w:bookmarkStart w:id="21" w:name="_Toc242417912"/>
      <w:r>
        <w:rPr>
          <w:rFonts w:ascii="宋体" w:hAnsi="宋体" w:eastAsia="宋体"/>
          <w:b w:val="0"/>
        </w:rPr>
        <w:t>一 制度与信息传递</w:t>
      </w:r>
      <w:bookmarkEnd w:id="20"/>
      <w:bookmarkEnd w:id="21"/>
    </w:p>
    <w:p w14:paraId="012FFE2E">
      <w:pPr>
        <w:pStyle w:val="5"/>
      </w:pPr>
      <w:r>
        <w:t>（一）集团接待规则</w:t>
      </w:r>
    </w:p>
    <w:p w14:paraId="2936E768">
      <w:pPr>
        <w:rPr>
          <w:rFonts w:hint="eastAsia" w:eastAsia="宋体"/>
          <w:lang w:eastAsia="zh-CN"/>
        </w:rPr>
      </w:pPr>
      <w:r>
        <w:rPr>
          <w:rFonts w:hint="eastAsia"/>
        </w:rPr>
        <w:t>导盲犬使用者订酒店时，想知道的其实很简单：能不能住，要带什么证件。这两件事应当由酒店直接说清楚。集团规则是否覆盖每一家门店、预订平台怎样标注、门店核验哪些材料，是集团、平台和门店之间要理顺的事，使用者不必去弄明白；可一旦其中哪一环没理顺，多打的电话、多做的解释，就落到了使用者身上。</w:t>
      </w:r>
    </w:p>
    <w:p w14:paraId="3A583934">
      <w:pPr>
        <w:pStyle w:val="174"/>
      </w:pPr>
      <w:r>
        <w:rPr>
          <w:rFonts w:ascii="宋体" w:hAnsi="宋体"/>
          <w:b w:val="0"/>
        </w:rPr>
        <w:t>表1　各品牌导盲犬入住的接待要求与查验标准</w:t>
      </w:r>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592"/>
        <w:gridCol w:w="1338"/>
        <w:gridCol w:w="2675"/>
        <w:gridCol w:w="2675"/>
      </w:tblGrid>
      <w:tr w14:paraId="506BE8D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592" w:type="dxa"/>
            <w:shd w:val="clear" w:color="auto" w:fill="2C2C2C"/>
            <w:tcMar>
              <w:top w:w="90" w:type="dxa"/>
              <w:left w:w="100" w:type="dxa"/>
              <w:bottom w:w="90" w:type="dxa"/>
              <w:right w:w="100" w:type="dxa"/>
            </w:tcMar>
            <w:vAlign w:val="center"/>
          </w:tcPr>
          <w:p w14:paraId="65975C9D">
            <w:pPr>
              <w:keepNext/>
              <w:spacing w:before="0" w:after="0" w:line="264" w:lineRule="auto"/>
              <w:ind w:firstLine="0"/>
              <w:jc w:val="center"/>
            </w:pPr>
            <w:r>
              <w:rPr>
                <w:rFonts w:eastAsia="黑体"/>
                <w:b/>
                <w:color w:val="FFFFFF"/>
                <w:sz w:val="17"/>
              </w:rPr>
              <w:t>集团名称与电话</w:t>
            </w:r>
          </w:p>
        </w:tc>
        <w:tc>
          <w:tcPr>
            <w:tcW w:w="1338" w:type="dxa"/>
            <w:shd w:val="clear" w:color="auto" w:fill="2C2C2C"/>
            <w:tcMar>
              <w:top w:w="90" w:type="dxa"/>
              <w:left w:w="100" w:type="dxa"/>
              <w:bottom w:w="90" w:type="dxa"/>
              <w:right w:w="100" w:type="dxa"/>
            </w:tcMar>
            <w:vAlign w:val="center"/>
          </w:tcPr>
          <w:p w14:paraId="7AC8D796">
            <w:pPr>
              <w:keepNext/>
              <w:spacing w:before="0" w:after="0" w:line="264" w:lineRule="auto"/>
              <w:ind w:firstLine="0"/>
              <w:jc w:val="center"/>
            </w:pPr>
            <w:r>
              <w:rPr>
                <w:rFonts w:eastAsia="黑体"/>
                <w:b/>
                <w:color w:val="FFFFFF"/>
                <w:sz w:val="17"/>
              </w:rPr>
              <w:t>品牌</w:t>
            </w:r>
          </w:p>
        </w:tc>
        <w:tc>
          <w:tcPr>
            <w:tcW w:w="2675" w:type="dxa"/>
            <w:shd w:val="clear" w:color="auto" w:fill="2C2C2C"/>
            <w:tcMar>
              <w:top w:w="90" w:type="dxa"/>
              <w:left w:w="100" w:type="dxa"/>
              <w:bottom w:w="90" w:type="dxa"/>
              <w:right w:w="100" w:type="dxa"/>
            </w:tcMar>
            <w:vAlign w:val="center"/>
          </w:tcPr>
          <w:p w14:paraId="06038C8F">
            <w:pPr>
              <w:keepNext/>
              <w:spacing w:before="0" w:after="0" w:line="264" w:lineRule="auto"/>
              <w:ind w:firstLine="0"/>
              <w:jc w:val="center"/>
            </w:pPr>
            <w:r>
              <w:rPr>
                <w:rFonts w:eastAsia="黑体"/>
                <w:b/>
                <w:color w:val="FFFFFF"/>
                <w:sz w:val="17"/>
              </w:rPr>
              <w:t>入住规定</w:t>
            </w:r>
          </w:p>
        </w:tc>
        <w:tc>
          <w:tcPr>
            <w:tcW w:w="2675" w:type="dxa"/>
            <w:shd w:val="clear" w:color="auto" w:fill="2C2C2C"/>
            <w:tcMar>
              <w:top w:w="90" w:type="dxa"/>
              <w:left w:w="100" w:type="dxa"/>
              <w:bottom w:w="90" w:type="dxa"/>
              <w:right w:w="100" w:type="dxa"/>
            </w:tcMar>
            <w:vAlign w:val="center"/>
          </w:tcPr>
          <w:p w14:paraId="5133EF30">
            <w:pPr>
              <w:keepNext/>
              <w:spacing w:before="0" w:after="0" w:line="264" w:lineRule="auto"/>
              <w:ind w:firstLine="0"/>
              <w:jc w:val="center"/>
            </w:pPr>
            <w:r>
              <w:rPr>
                <w:rFonts w:eastAsia="黑体"/>
                <w:b/>
                <w:color w:val="FFFFFF"/>
                <w:sz w:val="17"/>
              </w:rPr>
              <w:t>具体要求</w:t>
            </w:r>
          </w:p>
        </w:tc>
      </w:tr>
      <w:tr w14:paraId="0409BA8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FFFFF"/>
            <w:tcMar>
              <w:top w:w="90" w:type="dxa"/>
              <w:left w:w="100" w:type="dxa"/>
              <w:bottom w:w="90" w:type="dxa"/>
              <w:right w:w="100" w:type="dxa"/>
            </w:tcMar>
            <w:vAlign w:val="center"/>
          </w:tcPr>
          <w:p w14:paraId="56D0693B">
            <w:pPr>
              <w:spacing w:before="0" w:after="0" w:line="264" w:lineRule="auto"/>
              <w:ind w:firstLine="0"/>
              <w:jc w:val="center"/>
            </w:pPr>
            <w:r>
              <w:rPr>
                <w:sz w:val="17"/>
              </w:rPr>
              <w:t>华住集团</w:t>
            </w:r>
            <w:r>
              <w:rPr>
                <w:sz w:val="17"/>
              </w:rPr>
              <w:br w:type="textWrapping"/>
            </w:r>
            <w:r>
              <w:rPr>
                <w:sz w:val="17"/>
              </w:rPr>
              <w:t>4008121121</w:t>
            </w:r>
          </w:p>
        </w:tc>
        <w:tc>
          <w:tcPr>
            <w:tcW w:w="1338" w:type="dxa"/>
            <w:shd w:val="clear" w:color="auto" w:fill="FFFFFF"/>
            <w:tcMar>
              <w:top w:w="90" w:type="dxa"/>
              <w:left w:w="100" w:type="dxa"/>
              <w:bottom w:w="90" w:type="dxa"/>
              <w:right w:w="100" w:type="dxa"/>
            </w:tcMar>
            <w:vAlign w:val="center"/>
          </w:tcPr>
          <w:p w14:paraId="1461D035">
            <w:pPr>
              <w:spacing w:before="0" w:after="0" w:line="264" w:lineRule="auto"/>
              <w:ind w:firstLine="0"/>
              <w:jc w:val="center"/>
            </w:pPr>
            <w:r>
              <w:rPr>
                <w:sz w:val="17"/>
              </w:rPr>
              <w:t>汉庭、全季</w:t>
            </w:r>
          </w:p>
        </w:tc>
        <w:tc>
          <w:tcPr>
            <w:tcW w:w="2675" w:type="dxa"/>
            <w:shd w:val="clear" w:color="auto" w:fill="FFFFFF"/>
            <w:tcMar>
              <w:top w:w="90" w:type="dxa"/>
              <w:left w:w="100" w:type="dxa"/>
              <w:bottom w:w="90" w:type="dxa"/>
              <w:right w:w="100" w:type="dxa"/>
            </w:tcMar>
            <w:vAlign w:val="center"/>
          </w:tcPr>
          <w:p w14:paraId="077D3795">
            <w:pPr>
              <w:spacing w:before="0" w:after="0" w:line="264" w:lineRule="auto"/>
              <w:ind w:firstLine="0"/>
              <w:jc w:val="left"/>
            </w:pPr>
            <w:r>
              <w:rPr>
                <w:rFonts w:hint="eastAsia"/>
                <w:sz w:val="17"/>
              </w:rPr>
              <w:t>调研记录中的预订页标注：允许携带“服务型宠物”（需提前联系门店）；集团客服答复：旗下酒店均接待导盲犬</w:t>
            </w:r>
          </w:p>
        </w:tc>
        <w:tc>
          <w:tcPr>
            <w:tcW w:w="2675" w:type="dxa"/>
            <w:shd w:val="clear" w:color="auto" w:fill="FFFFFF"/>
            <w:tcMar>
              <w:top w:w="90" w:type="dxa"/>
              <w:left w:w="100" w:type="dxa"/>
              <w:bottom w:w="90" w:type="dxa"/>
              <w:right w:w="100" w:type="dxa"/>
            </w:tcMar>
            <w:vAlign w:val="center"/>
          </w:tcPr>
          <w:p w14:paraId="69C9F6B0">
            <w:pPr>
              <w:spacing w:before="0" w:after="0" w:line="264" w:lineRule="auto"/>
              <w:ind w:firstLine="0"/>
              <w:jc w:val="left"/>
            </w:pPr>
            <w:r>
              <w:rPr>
                <w:rFonts w:hint="eastAsia"/>
                <w:sz w:val="17"/>
                <w:lang w:eastAsia="zh-CN"/>
              </w:rPr>
              <w:t>调研记录中的预订页要求：有效的“宠物证件”和疫苗接种证明；不收取清洁费</w:t>
            </w:r>
          </w:p>
        </w:tc>
      </w:tr>
      <w:tr w14:paraId="0F4EE0D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AFAF8"/>
            <w:tcMar>
              <w:top w:w="90" w:type="dxa"/>
              <w:left w:w="100" w:type="dxa"/>
              <w:bottom w:w="90" w:type="dxa"/>
              <w:right w:w="100" w:type="dxa"/>
            </w:tcMar>
            <w:vAlign w:val="center"/>
          </w:tcPr>
          <w:p w14:paraId="044642F6">
            <w:pPr>
              <w:spacing w:before="0" w:after="0" w:line="264" w:lineRule="auto"/>
              <w:ind w:firstLine="0"/>
              <w:jc w:val="center"/>
            </w:pPr>
            <w:r>
              <w:rPr>
                <w:sz w:val="17"/>
              </w:rPr>
              <w:t>锦江集团</w:t>
            </w:r>
            <w:r>
              <w:rPr>
                <w:sz w:val="17"/>
              </w:rPr>
              <w:br w:type="textWrapping"/>
            </w:r>
            <w:r>
              <w:rPr>
                <w:sz w:val="17"/>
              </w:rPr>
              <w:t>4008209999</w:t>
            </w:r>
          </w:p>
        </w:tc>
        <w:tc>
          <w:tcPr>
            <w:tcW w:w="1338" w:type="dxa"/>
            <w:shd w:val="clear" w:color="auto" w:fill="FAFAF8"/>
            <w:tcMar>
              <w:top w:w="90" w:type="dxa"/>
              <w:left w:w="100" w:type="dxa"/>
              <w:bottom w:w="90" w:type="dxa"/>
              <w:right w:w="100" w:type="dxa"/>
            </w:tcMar>
            <w:vAlign w:val="center"/>
          </w:tcPr>
          <w:p w14:paraId="16839064">
            <w:pPr>
              <w:spacing w:before="0" w:after="0" w:line="264" w:lineRule="auto"/>
              <w:ind w:firstLine="0"/>
              <w:jc w:val="center"/>
            </w:pPr>
            <w:r>
              <w:rPr>
                <w:sz w:val="17"/>
              </w:rPr>
              <w:t>维也纳、7天、锦江之星、麗枫</w:t>
            </w:r>
          </w:p>
        </w:tc>
        <w:tc>
          <w:tcPr>
            <w:tcW w:w="2675" w:type="dxa"/>
            <w:shd w:val="clear" w:color="auto" w:fill="FAFAF8"/>
            <w:tcMar>
              <w:top w:w="90" w:type="dxa"/>
              <w:left w:w="100" w:type="dxa"/>
              <w:bottom w:w="90" w:type="dxa"/>
              <w:right w:w="100" w:type="dxa"/>
            </w:tcMar>
            <w:vAlign w:val="center"/>
          </w:tcPr>
          <w:p w14:paraId="50470892">
            <w:pPr>
              <w:spacing w:before="0" w:after="0" w:line="264" w:lineRule="auto"/>
              <w:ind w:firstLine="0"/>
              <w:jc w:val="left"/>
            </w:pPr>
            <w:r>
              <w:rPr>
                <w:sz w:val="17"/>
              </w:rPr>
              <w:t>集团客服回电答复：“不允许不接待导盲犬”，适用于旗下各品牌门店</w:t>
            </w:r>
          </w:p>
        </w:tc>
        <w:tc>
          <w:tcPr>
            <w:tcW w:w="2675" w:type="dxa"/>
            <w:shd w:val="clear" w:color="auto" w:fill="FAFAF8"/>
            <w:tcMar>
              <w:top w:w="90" w:type="dxa"/>
              <w:left w:w="100" w:type="dxa"/>
              <w:bottom w:w="90" w:type="dxa"/>
              <w:right w:w="100" w:type="dxa"/>
            </w:tcMar>
            <w:vAlign w:val="center"/>
          </w:tcPr>
          <w:p w14:paraId="5020A460">
            <w:pPr>
              <w:spacing w:before="0" w:after="0" w:line="264" w:lineRule="auto"/>
              <w:ind w:firstLine="0"/>
              <w:jc w:val="left"/>
            </w:pPr>
            <w:r>
              <w:rPr>
                <w:sz w:val="17"/>
              </w:rPr>
              <w:t>集团客服回电答复：导盲犬使用者需配合提供导盲犬证和疫苗接种证明</w:t>
            </w:r>
          </w:p>
        </w:tc>
      </w:tr>
      <w:tr w14:paraId="0BE0A32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FFFFF"/>
            <w:tcMar>
              <w:top w:w="90" w:type="dxa"/>
              <w:left w:w="100" w:type="dxa"/>
              <w:bottom w:w="90" w:type="dxa"/>
              <w:right w:w="100" w:type="dxa"/>
            </w:tcMar>
            <w:vAlign w:val="center"/>
          </w:tcPr>
          <w:p w14:paraId="6013D258">
            <w:pPr>
              <w:spacing w:before="0" w:after="0" w:line="264" w:lineRule="auto"/>
              <w:ind w:firstLine="0"/>
              <w:jc w:val="center"/>
            </w:pPr>
            <w:r>
              <w:rPr>
                <w:rFonts w:hint="eastAsia"/>
                <w:sz w:val="17"/>
              </w:rPr>
              <w:t>首旅如家集团</w:t>
            </w:r>
          </w:p>
          <w:p w14:paraId="44264ABB">
            <w:pPr>
              <w:spacing w:before="0" w:after="0" w:line="264" w:lineRule="auto"/>
              <w:ind w:firstLine="0"/>
              <w:jc w:val="center"/>
            </w:pPr>
            <w:r>
              <w:rPr>
                <w:rFonts w:hint="eastAsia"/>
                <w:sz w:val="17"/>
              </w:rPr>
              <w:t>4008203333</w:t>
            </w:r>
          </w:p>
        </w:tc>
        <w:tc>
          <w:tcPr>
            <w:tcW w:w="1338" w:type="dxa"/>
            <w:shd w:val="clear" w:color="auto" w:fill="FFFFFF"/>
            <w:tcMar>
              <w:top w:w="90" w:type="dxa"/>
              <w:left w:w="100" w:type="dxa"/>
              <w:bottom w:w="90" w:type="dxa"/>
              <w:right w:w="100" w:type="dxa"/>
            </w:tcMar>
            <w:vAlign w:val="center"/>
          </w:tcPr>
          <w:p w14:paraId="7379760C">
            <w:pPr>
              <w:spacing w:before="0" w:after="0" w:line="264" w:lineRule="auto"/>
              <w:ind w:firstLine="0"/>
              <w:jc w:val="center"/>
            </w:pPr>
            <w:r>
              <w:rPr>
                <w:sz w:val="17"/>
              </w:rPr>
              <w:t>如家</w:t>
            </w:r>
          </w:p>
        </w:tc>
        <w:tc>
          <w:tcPr>
            <w:tcW w:w="2675" w:type="dxa"/>
            <w:shd w:val="clear" w:color="auto" w:fill="FFFFFF"/>
            <w:tcMar>
              <w:top w:w="90" w:type="dxa"/>
              <w:left w:w="100" w:type="dxa"/>
              <w:bottom w:w="90" w:type="dxa"/>
              <w:right w:w="100" w:type="dxa"/>
            </w:tcMar>
            <w:vAlign w:val="center"/>
          </w:tcPr>
          <w:p w14:paraId="15B2A2C6">
            <w:pPr>
              <w:spacing w:before="0" w:after="0" w:line="264" w:lineRule="auto"/>
              <w:ind w:firstLine="0"/>
              <w:jc w:val="left"/>
            </w:pPr>
            <w:r>
              <w:rPr>
                <w:rFonts w:hint="eastAsia"/>
                <w:sz w:val="17"/>
                <w:lang w:eastAsia="zh-CN"/>
              </w:rPr>
              <w:t>集团</w:t>
            </w:r>
            <w:r>
              <w:rPr>
                <w:sz w:val="17"/>
              </w:rPr>
              <w:t>客服回应：不拒绝入住，无法提供纸质材料，门店拒绝可以由客服联系和协调</w:t>
            </w:r>
          </w:p>
        </w:tc>
        <w:tc>
          <w:tcPr>
            <w:tcW w:w="2675" w:type="dxa"/>
            <w:shd w:val="clear" w:color="auto" w:fill="FFFFFF"/>
            <w:tcMar>
              <w:top w:w="90" w:type="dxa"/>
              <w:left w:w="100" w:type="dxa"/>
              <w:bottom w:w="90" w:type="dxa"/>
              <w:right w:w="100" w:type="dxa"/>
            </w:tcMar>
            <w:vAlign w:val="center"/>
          </w:tcPr>
          <w:p w14:paraId="011B3583">
            <w:pPr>
              <w:spacing w:before="0" w:after="0" w:line="264" w:lineRule="auto"/>
              <w:ind w:firstLine="0"/>
              <w:jc w:val="left"/>
            </w:pPr>
            <w:r>
              <w:rPr>
                <w:rFonts w:hint="eastAsia"/>
                <w:sz w:val="17"/>
                <w:lang w:eastAsia="zh-CN"/>
              </w:rPr>
              <w:t>集团客服回应：</w:t>
            </w:r>
            <w:r>
              <w:rPr>
                <w:sz w:val="17"/>
              </w:rPr>
              <w:t>导盲犬需要配合证件核验，需要佩戴工作鞍、导盲鞍，酒店员工需要查看导盲犬免疫证明和残疾人证</w:t>
            </w:r>
          </w:p>
        </w:tc>
      </w:tr>
      <w:tr w14:paraId="1C0FFD8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AFAF8"/>
            <w:tcMar>
              <w:top w:w="90" w:type="dxa"/>
              <w:left w:w="100" w:type="dxa"/>
              <w:bottom w:w="90" w:type="dxa"/>
              <w:right w:w="100" w:type="dxa"/>
            </w:tcMar>
            <w:vAlign w:val="center"/>
          </w:tcPr>
          <w:p w14:paraId="43E0E538">
            <w:pPr>
              <w:spacing w:before="0" w:after="0" w:line="264" w:lineRule="auto"/>
              <w:ind w:firstLine="0"/>
              <w:jc w:val="center"/>
            </w:pPr>
            <w:r>
              <w:rPr>
                <w:rFonts w:hint="eastAsia"/>
                <w:sz w:val="17"/>
              </w:rPr>
              <w:t>格林酒店集团</w:t>
            </w:r>
          </w:p>
          <w:p w14:paraId="7202446C">
            <w:pPr>
              <w:spacing w:before="0" w:after="0" w:line="264" w:lineRule="auto"/>
              <w:ind w:firstLine="0"/>
              <w:jc w:val="center"/>
            </w:pPr>
            <w:r>
              <w:rPr>
                <w:rFonts w:hint="eastAsia"/>
                <w:sz w:val="17"/>
              </w:rPr>
              <w:t>4006998998</w:t>
            </w:r>
          </w:p>
        </w:tc>
        <w:tc>
          <w:tcPr>
            <w:tcW w:w="1338" w:type="dxa"/>
            <w:shd w:val="clear" w:color="auto" w:fill="FAFAF8"/>
            <w:tcMar>
              <w:top w:w="90" w:type="dxa"/>
              <w:left w:w="100" w:type="dxa"/>
              <w:bottom w:w="90" w:type="dxa"/>
              <w:right w:w="100" w:type="dxa"/>
            </w:tcMar>
            <w:vAlign w:val="center"/>
          </w:tcPr>
          <w:p w14:paraId="25C65B97">
            <w:pPr>
              <w:spacing w:before="0" w:after="0" w:line="264" w:lineRule="auto"/>
              <w:ind w:firstLine="0"/>
              <w:jc w:val="center"/>
            </w:pPr>
            <w:r>
              <w:rPr>
                <w:sz w:val="17"/>
              </w:rPr>
              <w:t>格林豪泰</w:t>
            </w:r>
          </w:p>
        </w:tc>
        <w:tc>
          <w:tcPr>
            <w:tcW w:w="2675" w:type="dxa"/>
            <w:shd w:val="clear" w:color="auto" w:fill="FAFAF8"/>
            <w:tcMar>
              <w:top w:w="90" w:type="dxa"/>
              <w:left w:w="100" w:type="dxa"/>
              <w:bottom w:w="90" w:type="dxa"/>
              <w:right w:w="100" w:type="dxa"/>
            </w:tcMar>
            <w:vAlign w:val="center"/>
          </w:tcPr>
          <w:p w14:paraId="45B48187">
            <w:pPr>
              <w:spacing w:before="0" w:after="0" w:line="264" w:lineRule="auto"/>
              <w:ind w:firstLine="0"/>
              <w:jc w:val="left"/>
            </w:pPr>
            <w:r>
              <w:rPr>
                <w:rFonts w:hint="eastAsia"/>
                <w:sz w:val="17"/>
                <w:lang w:eastAsia="zh-CN"/>
              </w:rPr>
              <w:t>集团</w:t>
            </w:r>
            <w:r>
              <w:rPr>
                <w:sz w:val="17"/>
              </w:rPr>
              <w:t>客服回应：协助特殊人群入住（无明确条例）</w:t>
            </w:r>
          </w:p>
        </w:tc>
        <w:tc>
          <w:tcPr>
            <w:tcW w:w="2675" w:type="dxa"/>
            <w:shd w:val="clear" w:color="auto" w:fill="FAFAF8"/>
            <w:tcMar>
              <w:top w:w="90" w:type="dxa"/>
              <w:left w:w="100" w:type="dxa"/>
              <w:bottom w:w="90" w:type="dxa"/>
              <w:right w:w="100" w:type="dxa"/>
            </w:tcMar>
            <w:vAlign w:val="center"/>
          </w:tcPr>
          <w:p w14:paraId="38D9F16F">
            <w:pPr>
              <w:spacing w:before="0" w:after="0" w:line="264" w:lineRule="auto"/>
              <w:ind w:firstLine="0"/>
              <w:jc w:val="left"/>
            </w:pPr>
            <w:r>
              <w:rPr>
                <w:rFonts w:hint="eastAsia"/>
                <w:sz w:val="17"/>
                <w:lang w:eastAsia="zh-CN"/>
              </w:rPr>
              <w:t>平台</w:t>
            </w:r>
            <w:r>
              <w:rPr>
                <w:sz w:val="17"/>
              </w:rPr>
              <w:t>客服回应：协助特殊人群入住（无明确条例）</w:t>
            </w:r>
          </w:p>
        </w:tc>
      </w:tr>
      <w:tr w14:paraId="2D90C66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FFFFF"/>
            <w:tcMar>
              <w:top w:w="90" w:type="dxa"/>
              <w:left w:w="100" w:type="dxa"/>
              <w:bottom w:w="90" w:type="dxa"/>
              <w:right w:w="100" w:type="dxa"/>
            </w:tcMar>
            <w:vAlign w:val="center"/>
          </w:tcPr>
          <w:p w14:paraId="2C7ED5FA">
            <w:pPr>
              <w:spacing w:before="0" w:after="0" w:line="264" w:lineRule="auto"/>
              <w:ind w:firstLine="0"/>
              <w:jc w:val="center"/>
            </w:pPr>
            <w:r>
              <w:rPr>
                <w:sz w:val="17"/>
              </w:rPr>
              <w:t>东呈集团</w:t>
            </w:r>
            <w:r>
              <w:rPr>
                <w:sz w:val="17"/>
              </w:rPr>
              <w:br w:type="textWrapping"/>
            </w:r>
            <w:r>
              <w:rPr>
                <w:sz w:val="17"/>
              </w:rPr>
              <w:t>4007007899</w:t>
            </w:r>
          </w:p>
        </w:tc>
        <w:tc>
          <w:tcPr>
            <w:tcW w:w="1338" w:type="dxa"/>
            <w:shd w:val="clear" w:color="auto" w:fill="FFFFFF"/>
            <w:tcMar>
              <w:top w:w="90" w:type="dxa"/>
              <w:left w:w="100" w:type="dxa"/>
              <w:bottom w:w="90" w:type="dxa"/>
              <w:right w:w="100" w:type="dxa"/>
            </w:tcMar>
            <w:vAlign w:val="center"/>
          </w:tcPr>
          <w:p w14:paraId="18E3A3CD">
            <w:pPr>
              <w:spacing w:before="0" w:after="0" w:line="264" w:lineRule="auto"/>
              <w:ind w:firstLine="0"/>
              <w:jc w:val="center"/>
            </w:pPr>
            <w:r>
              <w:rPr>
                <w:sz w:val="17"/>
              </w:rPr>
              <w:t>城市便捷</w:t>
            </w:r>
          </w:p>
        </w:tc>
        <w:tc>
          <w:tcPr>
            <w:tcW w:w="2675" w:type="dxa"/>
            <w:shd w:val="clear" w:color="auto" w:fill="FFFFFF"/>
            <w:tcMar>
              <w:top w:w="90" w:type="dxa"/>
              <w:left w:w="100" w:type="dxa"/>
              <w:bottom w:w="90" w:type="dxa"/>
              <w:right w:w="100" w:type="dxa"/>
            </w:tcMar>
            <w:vAlign w:val="center"/>
          </w:tcPr>
          <w:p w14:paraId="700FA9FD">
            <w:pPr>
              <w:spacing w:before="0" w:after="0" w:line="264" w:lineRule="auto"/>
              <w:ind w:firstLine="0"/>
              <w:jc w:val="left"/>
            </w:pPr>
            <w:r>
              <w:rPr>
                <w:rFonts w:hint="eastAsia"/>
                <w:sz w:val="17"/>
                <w:lang w:eastAsia="zh-CN"/>
              </w:rPr>
              <w:t>集团</w:t>
            </w:r>
            <w:r>
              <w:rPr>
                <w:sz w:val="17"/>
              </w:rPr>
              <w:t>客服回应：没有相关硬性规定，提前联系门店询问，以具体门店为准</w:t>
            </w:r>
          </w:p>
        </w:tc>
        <w:tc>
          <w:tcPr>
            <w:tcW w:w="2675" w:type="dxa"/>
            <w:shd w:val="clear" w:color="auto" w:fill="FFFFFF"/>
            <w:tcMar>
              <w:top w:w="90" w:type="dxa"/>
              <w:left w:w="100" w:type="dxa"/>
              <w:bottom w:w="90" w:type="dxa"/>
              <w:right w:w="100" w:type="dxa"/>
            </w:tcMar>
            <w:vAlign w:val="center"/>
          </w:tcPr>
          <w:p w14:paraId="23F949CB">
            <w:pPr>
              <w:spacing w:before="0" w:after="0" w:line="264" w:lineRule="auto"/>
              <w:ind w:firstLine="0"/>
              <w:jc w:val="left"/>
            </w:pPr>
            <w:r>
              <w:rPr>
                <w:rFonts w:hint="eastAsia"/>
                <w:sz w:val="17"/>
                <w:lang w:eastAsia="zh-CN"/>
              </w:rPr>
              <w:t>平台</w:t>
            </w:r>
            <w:r>
              <w:rPr>
                <w:sz w:val="17"/>
              </w:rPr>
              <w:t>客服回应：没有相关硬性规定，提前联系门店询问，以具体门店为准</w:t>
            </w:r>
          </w:p>
        </w:tc>
      </w:tr>
      <w:tr w14:paraId="52C3071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AFAF8"/>
            <w:tcMar>
              <w:top w:w="90" w:type="dxa"/>
              <w:left w:w="100" w:type="dxa"/>
              <w:bottom w:w="90" w:type="dxa"/>
              <w:right w:w="100" w:type="dxa"/>
            </w:tcMar>
            <w:vAlign w:val="center"/>
          </w:tcPr>
          <w:p w14:paraId="2617B568">
            <w:pPr>
              <w:spacing w:before="0" w:after="0" w:line="264" w:lineRule="auto"/>
              <w:ind w:firstLine="0"/>
              <w:jc w:val="center"/>
            </w:pPr>
            <w:r>
              <w:rPr>
                <w:sz w:val="17"/>
              </w:rPr>
              <w:t>尚美数智集团</w:t>
            </w:r>
            <w:r>
              <w:rPr>
                <w:sz w:val="17"/>
              </w:rPr>
              <w:br w:type="textWrapping"/>
            </w:r>
            <w:r>
              <w:rPr>
                <w:sz w:val="17"/>
              </w:rPr>
              <w:t>4006456999</w:t>
            </w:r>
          </w:p>
        </w:tc>
        <w:tc>
          <w:tcPr>
            <w:tcW w:w="1338" w:type="dxa"/>
            <w:shd w:val="clear" w:color="auto" w:fill="FAFAF8"/>
            <w:tcMar>
              <w:top w:w="90" w:type="dxa"/>
              <w:left w:w="100" w:type="dxa"/>
              <w:bottom w:w="90" w:type="dxa"/>
              <w:right w:w="100" w:type="dxa"/>
            </w:tcMar>
            <w:vAlign w:val="center"/>
          </w:tcPr>
          <w:p w14:paraId="769730C4">
            <w:pPr>
              <w:spacing w:before="0" w:after="0" w:line="264" w:lineRule="auto"/>
              <w:ind w:firstLine="0"/>
              <w:jc w:val="center"/>
            </w:pPr>
            <w:r>
              <w:rPr>
                <w:rFonts w:hint="eastAsia"/>
                <w:sz w:val="17"/>
              </w:rPr>
              <w:t>尚客优选（统计组）</w:t>
            </w:r>
          </w:p>
        </w:tc>
        <w:tc>
          <w:tcPr>
            <w:tcW w:w="2675" w:type="dxa"/>
            <w:shd w:val="clear" w:color="auto" w:fill="FAFAF8"/>
            <w:tcMar>
              <w:top w:w="90" w:type="dxa"/>
              <w:left w:w="100" w:type="dxa"/>
              <w:bottom w:w="90" w:type="dxa"/>
              <w:right w:w="100" w:type="dxa"/>
            </w:tcMar>
            <w:vAlign w:val="center"/>
          </w:tcPr>
          <w:p w14:paraId="2136D52D">
            <w:pPr>
              <w:spacing w:before="0" w:after="0" w:line="264" w:lineRule="auto"/>
              <w:ind w:firstLine="0"/>
              <w:jc w:val="left"/>
            </w:pPr>
            <w:r>
              <w:rPr>
                <w:rFonts w:hint="eastAsia"/>
                <w:sz w:val="17"/>
                <w:lang w:eastAsia="zh-CN"/>
              </w:rPr>
              <w:t>集团</w:t>
            </w:r>
            <w:r>
              <w:rPr>
                <w:sz w:val="17"/>
              </w:rPr>
              <w:t>客服回应：没有相关硬性规定，以具体门店为准</w:t>
            </w:r>
          </w:p>
        </w:tc>
        <w:tc>
          <w:tcPr>
            <w:tcW w:w="2675" w:type="dxa"/>
            <w:shd w:val="clear" w:color="auto" w:fill="FAFAF8"/>
            <w:tcMar>
              <w:top w:w="90" w:type="dxa"/>
              <w:left w:w="100" w:type="dxa"/>
              <w:bottom w:w="90" w:type="dxa"/>
              <w:right w:w="100" w:type="dxa"/>
            </w:tcMar>
            <w:vAlign w:val="center"/>
          </w:tcPr>
          <w:p w14:paraId="4F9CF07F">
            <w:pPr>
              <w:spacing w:before="0" w:after="0" w:line="264" w:lineRule="auto"/>
              <w:ind w:firstLine="0"/>
              <w:jc w:val="left"/>
            </w:pPr>
            <w:r>
              <w:rPr>
                <w:rFonts w:hint="eastAsia"/>
                <w:sz w:val="17"/>
                <w:lang w:eastAsia="zh-CN"/>
              </w:rPr>
              <w:t>平台</w:t>
            </w:r>
            <w:r>
              <w:rPr>
                <w:sz w:val="17"/>
              </w:rPr>
              <w:t>客服回应：没有相关硬性规定，以具体门店为准</w:t>
            </w:r>
          </w:p>
        </w:tc>
      </w:tr>
    </w:tbl>
    <w:p w14:paraId="78C0E772">
      <w:pPr>
        <w:pStyle w:val="175"/>
      </w:pPr>
      <w:r>
        <w:t>注：表中各行信息来源不完全相同。华住一行来自调研记录中的预订页标注，以及华住集团客服2025年6月30日的电话答复：旗下酒店均依法接待导盲犬，入住时携带有效的导盲犬证件和疫苗证明即可登记，相关公告可在华住会酒店页面查看。锦江一行来自锦江会客服中心2025年6月30日的回电答复；首旅如家一行来自集团客服2025年6月30日的电话答复；格林、东呈、尚美数智各行来自2025年6月的客服答复。汉庭、全季在图8中“总部接待规则明确度”得2分，依据为上述华住集团客服答复。同一集团客服的答复并不总是一致：格林酒店集团客服在6月18日至26日的多次通话中，先后给出“不允许带宠物、没有针对导盲犬的规定”和“提供导盲犬工作证、训养证明和残疾人证即可入住”等不同说法。</w:t>
      </w:r>
    </w:p>
    <w:p w14:paraId="5080242A">
      <w:pPr>
        <w:rPr>
          <w:rFonts w:hint="eastAsia"/>
        </w:rPr>
      </w:pPr>
      <w:r>
        <w:rPr>
          <w:rFonts w:hint="eastAsia"/>
        </w:rPr>
        <w:t xml:space="preserve">从表1可以看出</w:t>
      </w:r>
      <w:r>
        <w:rPr>
          <w:rFonts w:hint="eastAsia"/>
        </w:rPr>
        <w:t xml:space="preserve">，在调研期间所见的预订页面和2025年6月的客服咨询中</w:t>
      </w:r>
      <w:r>
        <w:rPr>
          <w:rFonts w:hint="eastAsia"/>
        </w:rPr>
        <w:t xml:space="preserve">，</w:t>
      </w:r>
      <w:r>
        <w:rPr>
          <w:rFonts w:hint="eastAsia"/>
        </w:rPr>
        <w:t xml:space="preserve">各集团给出的依据并不相同：</w:t>
      </w:r>
    </w:p>
    <w:p w14:paraId="36312C44">
      <w:pPr>
        <w:pStyle w:val="16"/>
        <w:rPr>
          <w:rFonts w:hint="eastAsia"/>
        </w:rPr>
      </w:pPr>
      <w:r>
        <w:rPr>
          <w:rFonts w:hint="eastAsia"/>
        </w:rPr>
        <w:t xml:space="preserve">华住集团：</w:t>
      </w:r>
      <w:r>
        <w:rPr>
          <w:rFonts w:hint="eastAsia"/>
        </w:rPr>
        <w:t xml:space="preserve">调研期间</w:t>
      </w:r>
      <w:r>
        <w:rPr>
          <w:rFonts w:hint="eastAsia"/>
        </w:rPr>
        <w:t xml:space="preserve">依</w:t>
      </w:r>
      <w:r>
        <w:rPr>
          <w:rFonts w:hint="eastAsia"/>
        </w:rPr>
        <w:t xml:space="preserve">赖线上预订页面的文本提示与客服口头答复，</w:t>
      </w:r>
      <w:r>
        <w:rPr>
          <w:rFonts w:hint="eastAsia"/>
        </w:rPr>
        <w:t xml:space="preserve">当时所见的</w:t>
      </w:r>
      <w:r>
        <w:rPr>
          <w:rFonts w:hint="eastAsia"/>
        </w:rPr>
        <w:t xml:space="preserve">公开指引中仍使用“服务型宠物”</w:t>
      </w:r>
      <w:r>
        <w:rPr>
          <w:rFonts w:hint="eastAsia"/>
        </w:rPr>
        <w:t xml:space="preserve">这一含混表述；</w:t>
      </w:r>
    </w:p>
    <w:p w14:paraId="648F30FA">
      <w:pPr>
        <w:pStyle w:val="16"/>
        <w:rPr>
          <w:rFonts w:hint="eastAsia"/>
        </w:rPr>
      </w:pPr>
      <w:r>
        <w:rPr>
          <w:rFonts w:hint="eastAsia"/>
        </w:rPr>
        <w:t xml:space="preserve">锦江集团：</w:t>
      </w:r>
      <w:r>
        <w:rPr>
          <w:rFonts w:hint="eastAsia"/>
        </w:rPr>
        <w:t xml:space="preserve">客服中心在2025年6月30日的回电中</w:t>
      </w:r>
      <w:r>
        <w:rPr>
          <w:rFonts w:hint="eastAsia"/>
        </w:rPr>
        <w:t xml:space="preserve">明确强调旗下各品牌门店“不允许不接待导盲犬”，展现了相对清晰的总部接待要求；</w:t>
      </w:r>
    </w:p>
    <w:p w14:paraId="3C42C6C3">
      <w:pPr>
        <w:pStyle w:val="16"/>
        <w:rPr>
          <w:rFonts w:hint="eastAsia"/>
        </w:rPr>
      </w:pPr>
      <w:r>
        <w:rPr>
          <w:rFonts w:hint="eastAsia"/>
        </w:rPr>
        <w:t xml:space="preserve">其他集团：</w:t>
      </w:r>
      <w:r>
        <w:rPr>
          <w:rFonts w:hint="eastAsia"/>
        </w:rPr>
        <w:t xml:space="preserve">在2025年6月的咨询中，</w:t>
      </w:r>
      <w:r>
        <w:rPr>
          <w:rFonts w:hint="eastAsia"/>
        </w:rPr>
        <w:t xml:space="preserve">首</w:t>
      </w:r>
      <w:r>
        <w:rPr>
          <w:rFonts w:hint="eastAsia"/>
        </w:rPr>
        <w:t xml:space="preserve">旅如家集团客服表示门店不应拒绝、可协助协调，但无法提供统一书面材料；格林酒店集团客服表示协助特殊人群入住，但没有明确条例；东呈、尚美数智集团客服表示没有相关硬性规定，以具体门店为准。</w:t>
      </w:r>
      <w:r>
        <w:rPr>
          <w:rFonts w:hint="eastAsia"/>
        </w:rPr>
        <w:t xml:space="preserve">“协助特殊人群入住”这样的说法，把依法接待讲成了额外照顾，也说明</w:t>
      </w:r>
      <w:r>
        <w:rPr>
          <w:rFonts w:hint="eastAsia"/>
        </w:rPr>
        <w:t xml:space="preserve">当时集团客服</w:t>
      </w:r>
      <w:r>
        <w:rPr>
          <w:rFonts w:hint="eastAsia"/>
        </w:rPr>
        <w:t xml:space="preserve">还没有把它当作明确的接待义务。</w:t>
      </w:r>
    </w:p>
    <w:p w14:paraId="632D753D">
      <w:pPr>
        <w:rPr>
          <w:rFonts w:hint="eastAsia"/>
        </w:rPr>
      </w:pPr>
      <w:r>
        <w:rPr>
          <w:rFonts w:hint="eastAsia"/>
        </w:rPr>
        <w:t xml:space="preserve">“服务型宠物”这类表述容易混淆导盲犬与普通宠物。依据《无障碍环境建设法》第四十六条，导盲犬属于法定服务犬，其接待规则与管理标准应当与普通宠物的禁令及收费机制分开处理。2025年5月，视障博主携导盲犬入住深圳某全季酒店遭拒事件引发公众讨论（详见附录一（三））；据《现代快报》报道，涉事门店在事后更新的入住须知中虽改用了“服务型动物（如导盲犬）”的表述，但</w:t>
      </w:r>
      <w:r>
        <w:rPr>
          <w:rFonts w:hint="eastAsia"/>
        </w:rPr>
        <w:t xml:space="preserve">在本次调研期间</w:t>
      </w:r>
      <w:r>
        <w:rPr>
          <w:rFonts w:hint="eastAsia"/>
        </w:rPr>
        <w:t xml:space="preserve">所见的预订页面和客服答复中，相关用语仍不统一</w:t>
      </w:r>
      <w:r>
        <w:rPr>
          <w:rFonts w:hint="eastAsia"/>
        </w:rPr>
        <w:t xml:space="preserve">；截至2026年10月11日的公开信息核查，部分携程门店页面已把“宠物”和“服务型动物”分栏标注（见本节（二））</w:t>
      </w:r>
      <w:r>
        <w:rPr>
          <w:rFonts w:hint="eastAsia"/>
        </w:rPr>
        <w:t xml:space="preserve">。</w:t>
      </w:r>
      <w:r>
        <w:rPr>
          <w:rFonts w:hint="eastAsia"/>
        </w:rPr>
        <w:t xml:space="preserve">服务犬的接待规则和查验要求，应单独、清楚地写明。</w:t>
      </w:r>
    </w:p>
    <w:p w14:paraId="04DC7816">
      <w:pPr>
        <w:rPr>
          <w:rFonts w:hint="eastAsia"/>
        </w:rPr>
      </w:pPr>
      <w:r>
        <w:rPr>
          <w:rFonts w:hint="eastAsia"/>
        </w:rPr>
        <w:t xml:space="preserve">明确的集团规则首先是客服和门店的执行依据</w:t>
      </w:r>
      <w:r>
        <w:rPr>
          <w:rFonts w:hint="eastAsia"/>
        </w:rPr>
        <w:t xml:space="preserve">。规则写进</w:t>
      </w:r>
      <w:r>
        <w:rPr>
          <w:rFonts w:hint="eastAsia"/>
        </w:rPr>
        <w:t xml:space="preserve">客服知识库和门店流程，</w:t>
      </w:r>
      <w:r>
        <w:rPr>
          <w:rFonts w:hint="eastAsia"/>
        </w:rPr>
        <w:t xml:space="preserve">员工就能直接告诉住客能不能住、要带什么，使用者也</w:t>
      </w:r>
      <w:r>
        <w:rPr>
          <w:rFonts w:hint="eastAsia"/>
        </w:rPr>
        <w:t xml:space="preserve">不必在预订前</w:t>
      </w:r>
      <w:r>
        <w:rPr>
          <w:rFonts w:hint="eastAsia"/>
        </w:rPr>
        <w:t xml:space="preserve">四处打听</w:t>
      </w:r>
      <w:r>
        <w:rPr>
          <w:rFonts w:hint="eastAsia"/>
        </w:rPr>
        <w:t xml:space="preserve">。</w:t>
      </w:r>
    </w:p>
    <w:p>
      <w:pPr>
        <w:pStyle w:val="5"/>
        <w:rPr/>
      </w:pPr>
      <w:r>
        <w:t xml:space="preserve">（二）截至2026年10月的公开信息补充</w:t>
      </w:r>
    </w:p>
    <w:p>
      <w:pPr>
        <w:rPr/>
      </w:pPr>
      <w:r>
        <w:t xml:space="preserve">本报告的电话调查和集团客服咨询主要在2023年至2025年间完成。为补充报告定稿时的制度背景，研究团队于2026年10月11日对相关集团和门店的公开信息进行了补充核查。核查发现，锦江官方预订网站上多个品牌的门店页面载有导盲犬接待规则；首旅如家部分官方门店页面明确写有导盲犬例外；携程部分酒店页面已把普通宠物与服务型动物分栏显示。但门店页面之间仍有允许、禁止和未写明服务犬信息三种情况，多数页面没有注明政策修订日期，这些公开标注也没有通过对同一门店的回访或实际入住加以验证。这些材料补充的是当前公开的制度背景，不改变原有电话调查记录、统计结果和排名。</w:t>
      </w:r>
    </w:p>
    <w:p>
      <w:pPr>
        <w:rPr/>
      </w:pPr>
      <w:r>
        <w:t xml:space="preserve">这次补充核查只查看公开网页和公开披露文件，没有重新致电门店，没有实际入住，也没有为本研究向集团索取新的书面答复。核查到的门店页面多数不在558家样本之内，与正文案例对应的样本门店在表2之后单独说明。官网条款、预订平台标注、集团公开披露、2025年的客服答复和门店的实际接待，是性质不同的信息：页面允许服务犬，不能说明门店的实际接待已经改善；页面标注禁止，也不等于重新核实了门店当前会拒绝；页面没有写明，不等于明确拒绝；普通宠物规定也不能直接套用于导盲犬。少数门店页面的情况，不能推及整个品牌、统计组或集团。</w:t>
      </w:r>
    </w:p>
    <w:p>
      <w:pPr>
        <w:rPr/>
      </w:pPr>
      <w:r>
        <w:t xml:space="preserve">预订平台上的服务型动物标注并不是这次才出现的。调研工作表“政策备注”一栏记录了210家样本门店当时的服务型动物标注，其中允许114家、不允许95家、“动物均不接受”1家，其余348家未记录。因此，2026年页面上的分栏不宜理解为平台新近增设。</w:t>
      </w:r>
    </w:p>
    <w:p>
      <w:pPr>
        <w:pStyle w:val="174"/>
        <w:rPr/>
      </w:pPr>
      <w:r>
        <w:t xml:space="preserve">表2　截至2026年10月11日的公开信息补充（6个集团、10个样本品牌或统计组）</w:t>
      </w:r>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380"/>
        <w:gridCol w:w="2000"/>
        <w:gridCol w:w="2700"/>
        <w:gridCol w:w="2200"/>
      </w:tblGrid>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380" w:type="dxa"/>
            <w:shd w:val="clear" w:color="auto" w:fill="2C2C2C"/>
            <w:tcMar>
              <w:top w:w="90" w:type="dxa"/>
              <w:left w:w="100" w:type="dxa"/>
              <w:bottom w:w="90" w:type="dxa"/>
              <w:right w:w="100" w:type="dxa"/>
            </w:tcMar>
            <w:vAlign w:val="center"/>
          </w:tcPr>
          <w:p>
            <w:pPr>
              <w:keepNext/>
              <w:spacing w:before="0" w:after="0" w:line="264" w:lineRule="auto"/>
              <w:ind w:firstLine="0"/>
              <w:jc w:val="center"/>
              <w:rPr/>
            </w:pPr>
            <w:r>
              <w:rPr>
                <w:rFonts w:eastAsia="黑体"/>
                <w:b/>
                <w:color w:val="FFFFFF"/>
                <w:sz w:val="17"/>
              </w:rPr>
              <w:t xml:space="preserve">集团／样本品牌</w:t>
            </w:r>
          </w:p>
        </w:tc>
        <w:tc>
          <w:tcPr>
            <w:tcW w:w="2000" w:type="dxa"/>
            <w:shd w:val="clear" w:color="auto" w:fill="2C2C2C"/>
            <w:tcMar>
              <w:top w:w="90" w:type="dxa"/>
              <w:left w:w="100" w:type="dxa"/>
              <w:bottom w:w="90" w:type="dxa"/>
              <w:right w:w="100" w:type="dxa"/>
            </w:tcMar>
            <w:vAlign w:val="center"/>
          </w:tcPr>
          <w:p>
            <w:pPr>
              <w:keepNext/>
              <w:spacing w:before="0" w:after="0" w:line="264" w:lineRule="auto"/>
              <w:ind w:firstLine="0"/>
              <w:jc w:val="center"/>
              <w:rPr/>
            </w:pPr>
            <w:r>
              <w:rPr>
                <w:rFonts w:eastAsia="黑体"/>
                <w:b/>
                <w:color w:val="FFFFFF"/>
                <w:sz w:val="17"/>
              </w:rPr>
              <w:t xml:space="preserve">来源类型与页面范围</w:t>
            </w:r>
          </w:p>
        </w:tc>
        <w:tc>
          <w:tcPr>
            <w:tcW w:w="2700" w:type="dxa"/>
            <w:shd w:val="clear" w:color="auto" w:fill="2C2C2C"/>
            <w:tcMar>
              <w:top w:w="90" w:type="dxa"/>
              <w:left w:w="100" w:type="dxa"/>
              <w:bottom w:w="90" w:type="dxa"/>
              <w:right w:w="100" w:type="dxa"/>
            </w:tcMar>
            <w:vAlign w:val="center"/>
          </w:tcPr>
          <w:p>
            <w:pPr>
              <w:keepNext/>
              <w:spacing w:before="0" w:after="0" w:line="264" w:lineRule="auto"/>
              <w:ind w:firstLine="0"/>
              <w:jc w:val="center"/>
              <w:rPr/>
            </w:pPr>
            <w:r>
              <w:rPr>
                <w:rFonts w:eastAsia="黑体"/>
                <w:b/>
                <w:color w:val="FFFFFF"/>
                <w:sz w:val="17"/>
              </w:rPr>
              <w:t xml:space="preserve">所见表述（2026年10月11日核查）</w:t>
            </w:r>
          </w:p>
        </w:tc>
        <w:tc>
          <w:tcPr>
            <w:tcW w:w="2200" w:type="dxa"/>
            <w:shd w:val="clear" w:color="auto" w:fill="2C2C2C"/>
            <w:tcMar>
              <w:top w:w="90" w:type="dxa"/>
              <w:left w:w="100" w:type="dxa"/>
              <w:bottom w:w="90" w:type="dxa"/>
              <w:right w:w="100" w:type="dxa"/>
            </w:tcMar>
            <w:vAlign w:val="center"/>
          </w:tcPr>
          <w:p>
            <w:pPr>
              <w:keepNext/>
              <w:spacing w:before="0" w:after="0" w:line="264" w:lineRule="auto"/>
              <w:ind w:firstLine="0"/>
              <w:jc w:val="center"/>
              <w:rPr/>
            </w:pPr>
            <w:r>
              <w:rPr>
                <w:rFonts w:eastAsia="黑体"/>
                <w:b/>
                <w:color w:val="FFFFFF"/>
                <w:sz w:val="17"/>
              </w:rPr>
              <w:t xml:space="preserve">局限与说明</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FFFFF"/>
            <w:tcMar>
              <w:top w:w="90" w:type="dxa"/>
              <w:left w:w="100" w:type="dxa"/>
              <w:bottom w:w="90" w:type="dxa"/>
              <w:right w:w="100" w:type="dxa"/>
            </w:tcMar>
            <w:vAlign w:val="center"/>
          </w:tcPr>
          <w:p>
            <w:pPr>
              <w:spacing w:before="0" w:after="0" w:line="264" w:lineRule="auto"/>
              <w:ind w:firstLine="0"/>
              <w:jc w:val="center"/>
              <w:rPr/>
            </w:pPr>
            <w:r>
              <w:rPr>
                <w:sz w:val="17"/>
              </w:rPr>
              <w:t xml:space="preserve">华住集团</w:t>
            </w:r>
            <w:r>
              <w:rPr>
                <w:sz w:val="17"/>
              </w:rPr>
              <w:br/>
            </w:r>
            <w:r>
              <w:rPr>
                <w:sz w:val="17"/>
              </w:rPr>
              <w:t xml:space="preserve">汉庭、全季</w:t>
            </w:r>
          </w:p>
        </w:tc>
        <w:tc>
          <w:tcPr>
            <w:tcW w:w="2000" w:type="dxa"/>
            <w:shd w:val="clear" w:color="auto" w:fill="FFFFFF"/>
            <w:tcMar>
              <w:top w:w="90" w:type="dxa"/>
              <w:left w:w="100" w:type="dxa"/>
              <w:bottom w:w="90" w:type="dxa"/>
              <w:right w:w="100" w:type="dxa"/>
            </w:tcMar>
            <w:vAlign w:val="center"/>
          </w:tcPr>
          <w:p>
            <w:pPr>
              <w:spacing w:before="0" w:after="0" w:line="264" w:lineRule="auto"/>
              <w:ind w:firstLine="0"/>
              <w:jc w:val="left"/>
              <w:rPr/>
            </w:pPr>
            <w:r>
              <w:rPr>
                <w:sz w:val="17"/>
              </w:rPr>
              <w:t xml:space="preserve">携程门店页：全季深圳北站地铁站店、汉庭广州中山八地铁站店、汉庭上海奉贤康全路店（均非样本门店）</w:t>
            </w:r>
          </w:p>
        </w:tc>
        <w:tc>
          <w:tcPr>
            <w:tcW w:w="27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rPr>
              <w:t xml:space="preserve">前两家页面把“宠物”与“服务型动物”分栏，标注允许携带服务型动物（需提前联系酒店）；汉庭上海奉贤康全路店标注不允许携带服务型动物</w:t>
            </w:r>
          </w:p>
        </w:tc>
        <w:tc>
          <w:tcPr>
            <w:tcW w:w="22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lang w:eastAsia="zh-CN"/>
              </w:rPr>
              <w:t xml:space="preserve">页面未完整列出原报告记录的证件要求和免收清洁费说明；未列出不等于这些要求已取消或改变</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AFAF8"/>
            <w:tcMar>
              <w:top w:w="90" w:type="dxa"/>
              <w:left w:w="100" w:type="dxa"/>
              <w:bottom w:w="90" w:type="dxa"/>
              <w:right w:w="100" w:type="dxa"/>
            </w:tcMar>
            <w:vAlign w:val="center"/>
          </w:tcPr>
          <w:p>
            <w:pPr>
              <w:spacing w:before="0" w:after="0" w:line="264" w:lineRule="auto"/>
              <w:ind w:firstLine="0"/>
              <w:jc w:val="center"/>
              <w:rPr/>
            </w:pPr>
            <w:r>
              <w:rPr>
                <w:sz w:val="17"/>
              </w:rPr>
              <w:t xml:space="preserve">锦江集团</w:t>
            </w:r>
            <w:r>
              <w:rPr>
                <w:sz w:val="17"/>
              </w:rPr>
              <w:br/>
            </w:r>
            <w:r>
              <w:rPr>
                <w:sz w:val="17"/>
              </w:rPr>
              <w:t xml:space="preserve">维也纳、7天、锦江之星、麗枫</w:t>
            </w:r>
          </w:p>
        </w:tc>
        <w:tc>
          <w:tcPr>
            <w:tcW w:w="20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锦江官方预订网站（WeHotel）门店页：锦江之星品尚杭州西湖大道南宋御街酒店、7天宜春经开区雷桥店、维也纳长白山北景区游客集散中心店、麗枫乌鲁木齐高铁站维泰北路店（均非样本门店）</w:t>
            </w:r>
          </w:p>
        </w:tc>
        <w:tc>
          <w:tcPr>
            <w:tcW w:w="27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载有专门的导盲犬接待规则：视障住客可携导盲犬进入面向住客的区域，公共区域和餐厅可通行；除常规入住手续外，列出残疾人证、导盲犬工作证（须有条款所列公章或IGDF标识）和动物健康免疫证明；人犬同住无障碍客房；无法提供工作证件时，提出将犬只另行安置、由酒店员工提供引导协助；使用者负责照看和控制导盲犬</w:t>
            </w:r>
          </w:p>
        </w:tc>
        <w:tc>
          <w:tcPr>
            <w:tcW w:w="22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未见修订日期；未明确承诺免收押金或清洁费；可否选普通客房、无障碍客房满房时如何安排、价格是否受影响、人犬分开安置的依据和条件均未说明</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FFFFF"/>
            <w:tcMar>
              <w:top w:w="90" w:type="dxa"/>
              <w:left w:w="100" w:type="dxa"/>
              <w:bottom w:w="90" w:type="dxa"/>
              <w:right w:w="100" w:type="dxa"/>
            </w:tcMar>
            <w:vAlign w:val="center"/>
          </w:tcPr>
          <w:p>
            <w:pPr>
              <w:spacing w:before="0" w:after="0" w:line="264" w:lineRule="auto"/>
              <w:ind w:firstLine="0"/>
              <w:jc w:val="center"/>
              <w:rPr/>
            </w:pPr>
            <w:r>
              <w:rPr>
                <w:sz w:val="17"/>
              </w:rPr>
              <w:t xml:space="preserve">锦江集团（样本外补充）</w:t>
            </w:r>
            <w:r>
              <w:rPr>
                <w:sz w:val="17"/>
              </w:rPr>
              <w:br/>
            </w:r>
            <w:r>
              <w:rPr>
                <w:sz w:val="17"/>
              </w:rPr>
              <w:t xml:space="preserve">丽怡</w:t>
            </w:r>
          </w:p>
        </w:tc>
        <w:tc>
          <w:tcPr>
            <w:tcW w:w="2000" w:type="dxa"/>
            <w:shd w:val="clear" w:color="auto" w:fill="FFFFFF"/>
            <w:tcMar>
              <w:top w:w="90" w:type="dxa"/>
              <w:left w:w="100" w:type="dxa"/>
              <w:bottom w:w="90" w:type="dxa"/>
              <w:right w:w="100" w:type="dxa"/>
            </w:tcMar>
            <w:vAlign w:val="center"/>
          </w:tcPr>
          <w:p>
            <w:pPr>
              <w:spacing w:before="0" w:after="0" w:line="264" w:lineRule="auto"/>
              <w:ind w:firstLine="0"/>
              <w:jc w:val="left"/>
              <w:rPr/>
            </w:pPr>
            <w:r>
              <w:rPr>
                <w:sz w:val="17"/>
              </w:rPr>
              <w:t xml:space="preserve">锦江酒店2025年ESG报告（2026年披露），印刷页第40页（PDF第41页）</w:t>
            </w:r>
          </w:p>
        </w:tc>
        <w:tc>
          <w:tcPr>
            <w:tcW w:w="27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rPr>
              <w:t xml:space="preserve">2025年丽怡品牌在华南地区开展视障友好试点，涉及导盲犬服务标准和员工培训；截至2025年底，华南地区32家丽怡酒店张贴了视障友好贴纸</w:t>
            </w:r>
          </w:p>
        </w:tc>
        <w:tc>
          <w:tcPr>
            <w:tcW w:w="22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lang w:eastAsia="zh-CN"/>
              </w:rPr>
              <w:t xml:space="preserve">丽怡不在本报告十个样本品牌之内；不能推及四个样本品牌或集团全部门店；不能据此推断试点始于2025年6月之后</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AFAF8"/>
            <w:tcMar>
              <w:top w:w="90" w:type="dxa"/>
              <w:left w:w="100" w:type="dxa"/>
              <w:bottom w:w="90" w:type="dxa"/>
              <w:right w:w="100" w:type="dxa"/>
            </w:tcMar>
            <w:vAlign w:val="center"/>
          </w:tcPr>
          <w:p>
            <w:pPr>
              <w:spacing w:before="0" w:after="0" w:line="264" w:lineRule="auto"/>
              <w:ind w:firstLine="0"/>
              <w:jc w:val="center"/>
              <w:rPr/>
            </w:pPr>
            <w:r>
              <w:rPr>
                <w:sz w:val="17"/>
              </w:rPr>
              <w:t xml:space="preserve">首旅如家集团</w:t>
            </w:r>
            <w:r>
              <w:rPr>
                <w:sz w:val="17"/>
              </w:rPr>
              <w:br/>
            </w:r>
            <w:r>
              <w:rPr>
                <w:sz w:val="17"/>
              </w:rPr>
              <w:t xml:space="preserve">如家</w:t>
            </w:r>
          </w:p>
        </w:tc>
        <w:tc>
          <w:tcPr>
            <w:tcW w:w="20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首旅如家官方门店页：如家北京西客站六里桥东地铁站店、如家南京新街口朝天宫地铁站店（均非样本门店）</w:t>
            </w:r>
          </w:p>
        </w:tc>
        <w:tc>
          <w:tcPr>
            <w:tcW w:w="27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禁止携带普通宠物的告示写明导盲犬除外，并要求主人全程看管、牵绳；南京门店的官方页面文本中有类似告示</w:t>
            </w:r>
          </w:p>
        </w:tc>
        <w:tc>
          <w:tcPr>
            <w:tcW w:w="22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告示未说明证件、收费、房型和餐厅通行；所示有效期不等于首次发布日期；不能证明已有完整的全国统一流程</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FFFFF"/>
            <w:tcMar>
              <w:top w:w="90" w:type="dxa"/>
              <w:left w:w="100" w:type="dxa"/>
              <w:bottom w:w="90" w:type="dxa"/>
              <w:right w:w="100" w:type="dxa"/>
            </w:tcMar>
            <w:vAlign w:val="center"/>
          </w:tcPr>
          <w:p>
            <w:pPr>
              <w:spacing w:before="0" w:after="0" w:line="264" w:lineRule="auto"/>
              <w:ind w:firstLine="0"/>
              <w:jc w:val="center"/>
              <w:rPr/>
            </w:pPr>
            <w:r>
              <w:rPr>
                <w:sz w:val="17"/>
              </w:rPr>
              <w:t xml:space="preserve">格林酒店集团</w:t>
            </w:r>
            <w:r>
              <w:rPr>
                <w:sz w:val="17"/>
              </w:rPr>
              <w:br/>
            </w:r>
            <w:r>
              <w:rPr>
                <w:sz w:val="17"/>
              </w:rPr>
              <w:t xml:space="preserve">格林豪泰</w:t>
            </w:r>
          </w:p>
        </w:tc>
        <w:tc>
          <w:tcPr>
            <w:tcW w:w="2000" w:type="dxa"/>
            <w:shd w:val="clear" w:color="auto" w:fill="FFFFFF"/>
            <w:tcMar>
              <w:top w:w="90" w:type="dxa"/>
              <w:left w:w="100" w:type="dxa"/>
              <w:bottom w:w="90" w:type="dxa"/>
              <w:right w:w="100" w:type="dxa"/>
            </w:tcMar>
            <w:vAlign w:val="center"/>
          </w:tcPr>
          <w:p>
            <w:pPr>
              <w:spacing w:before="0" w:after="0" w:line="264" w:lineRule="auto"/>
              <w:ind w:firstLine="0"/>
              <w:jc w:val="left"/>
              <w:rPr/>
            </w:pPr>
            <w:r>
              <w:rPr>
                <w:sz w:val="17"/>
              </w:rPr>
              <w:t xml:space="preserve">格林官网《宾客入住须知》第6条；携程门店页：广州番禺广场店（S28）、哈尔滨中央大街店（S38）、长春和平大街地铁站店（S21）（均为样本门店）</w:t>
            </w:r>
          </w:p>
        </w:tc>
        <w:tc>
          <w:tcPr>
            <w:tcW w:w="27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rPr>
              <w:t xml:space="preserve">入住须知第6条大意为：涉及宠物的问题请提前与前台沟通，按各门店规定处理，未单独写明导盲犬例外；番禺广场店标注不允许携带服务型动物，另两家标注允许（需提前联系酒店）</w:t>
            </w:r>
          </w:p>
        </w:tc>
        <w:tc>
          <w:tcPr>
            <w:tcW w:w="22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lang w:eastAsia="zh-CN"/>
              </w:rPr>
              <w:t xml:space="preserve">未取得确认全国统一新制度的公开文件；未提导盲犬的普通宠物条款不等于明确禁止导盲犬；与案例的对照见下文</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AFAF8"/>
            <w:tcMar>
              <w:top w:w="90" w:type="dxa"/>
              <w:left w:w="100" w:type="dxa"/>
              <w:bottom w:w="90" w:type="dxa"/>
              <w:right w:w="100" w:type="dxa"/>
            </w:tcMar>
            <w:vAlign w:val="center"/>
          </w:tcPr>
          <w:p>
            <w:pPr>
              <w:spacing w:before="0" w:after="0" w:line="264" w:lineRule="auto"/>
              <w:ind w:firstLine="0"/>
              <w:jc w:val="center"/>
              <w:rPr/>
            </w:pPr>
            <w:r>
              <w:rPr>
                <w:sz w:val="17"/>
              </w:rPr>
              <w:t xml:space="preserve">东呈集团</w:t>
            </w:r>
            <w:r>
              <w:rPr>
                <w:sz w:val="17"/>
              </w:rPr>
              <w:br/>
            </w:r>
            <w:r>
              <w:rPr>
                <w:sz w:val="17"/>
              </w:rPr>
              <w:t xml:space="preserve">城市便捷</w:t>
            </w:r>
          </w:p>
        </w:tc>
        <w:tc>
          <w:tcPr>
            <w:tcW w:w="20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携程门店页：重庆观音桥步行街店、上海野生动物园申江南路店、漳州金峰开发区店（均非样本门店）</w:t>
            </w:r>
          </w:p>
        </w:tc>
        <w:tc>
          <w:tcPr>
            <w:tcW w:w="27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重庆、上海两家标注允许携带服务型动物（重庆需提前联系酒店）；漳州金峰开发区店标注不允许</w:t>
            </w:r>
          </w:p>
        </w:tc>
        <w:tc>
          <w:tcPr>
            <w:tcW w:w="2200" w:type="dxa"/>
            <w:shd w:val="clear" w:color="auto" w:fill="FAFAF8"/>
            <w:tcMar>
              <w:top w:w="90" w:type="dxa"/>
              <w:left w:w="100" w:type="dxa"/>
              <w:bottom w:w="90" w:type="dxa"/>
              <w:right w:w="100" w:type="dxa"/>
            </w:tcMar>
            <w:vAlign w:val="center"/>
          </w:tcPr>
          <w:p>
            <w:pPr>
              <w:spacing w:before="0" w:after="0" w:line="264" w:lineRule="auto"/>
              <w:ind w:firstLine="0"/>
              <w:jc w:val="left"/>
              <w:rPr/>
            </w:pPr>
            <w:r>
              <w:rPr>
                <w:sz w:val="17"/>
              </w:rPr>
              <w:t xml:space="preserve">未取得集团统一的新接待流程；个别门店允许不能说明全品牌已统一更新</w:t>
            </w:r>
          </w:p>
        </w:tc>
      </w:tr>
      <w:tr>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80" w:type="dxa"/>
            <w:shd w:val="clear" w:color="auto" w:fill="FFFFFF"/>
            <w:tcMar>
              <w:top w:w="90" w:type="dxa"/>
              <w:left w:w="100" w:type="dxa"/>
              <w:bottom w:w="90" w:type="dxa"/>
              <w:right w:w="100" w:type="dxa"/>
            </w:tcMar>
            <w:vAlign w:val="center"/>
          </w:tcPr>
          <w:p>
            <w:pPr>
              <w:spacing w:before="0" w:after="0" w:line="264" w:lineRule="auto"/>
              <w:ind w:firstLine="0"/>
              <w:jc w:val="center"/>
              <w:rPr/>
            </w:pPr>
            <w:r>
              <w:rPr>
                <w:sz w:val="17"/>
              </w:rPr>
              <w:t xml:space="preserve">尚美数智集团</w:t>
            </w:r>
            <w:r>
              <w:rPr>
                <w:sz w:val="17"/>
              </w:rPr>
              <w:br/>
            </w:r>
            <w:r>
              <w:rPr>
                <w:sz w:val="17"/>
              </w:rPr>
              <w:t xml:space="preserve">尚客优选（统计组）</w:t>
            </w:r>
          </w:p>
        </w:tc>
        <w:tc>
          <w:tcPr>
            <w:tcW w:w="2000" w:type="dxa"/>
            <w:shd w:val="clear" w:color="auto" w:fill="FFFFFF"/>
            <w:tcMar>
              <w:top w:w="90" w:type="dxa"/>
              <w:left w:w="100" w:type="dxa"/>
              <w:bottom w:w="90" w:type="dxa"/>
              <w:right w:w="100" w:type="dxa"/>
            </w:tcMar>
            <w:vAlign w:val="center"/>
          </w:tcPr>
          <w:p>
            <w:pPr>
              <w:spacing w:before="0" w:after="0" w:line="264" w:lineRule="auto"/>
              <w:ind w:firstLine="0"/>
              <w:jc w:val="left"/>
              <w:rPr/>
            </w:pPr>
            <w:r>
              <w:rPr>
                <w:sz w:val="17"/>
              </w:rPr>
              <w:t xml:space="preserve">携程门店页：成都尚客优悦石板滩东风街店（S34，样本门店）、尚客优无极西路店、尚客优台前火车站店（后两家非样本门店）</w:t>
            </w:r>
          </w:p>
        </w:tc>
        <w:tc>
          <w:tcPr>
            <w:tcW w:w="27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rPr>
              <w:t xml:space="preserve">成都、无极西路两家标注允许携带服务型动物（成都需提前联系酒店）；台前火车站店标注不允许</w:t>
            </w:r>
          </w:p>
        </w:tc>
        <w:tc>
          <w:tcPr>
            <w:tcW w:w="2200" w:type="dxa"/>
            <w:shd w:val="clear" w:color="auto" w:fill="FFFFFF"/>
            <w:tcMar>
              <w:top w:w="90" w:type="dxa"/>
              <w:left w:w="100" w:type="dxa"/>
              <w:bottom w:w="90" w:type="dxa"/>
              <w:right w:w="100" w:type="dxa"/>
            </w:tcMar>
            <w:vAlign w:val="center"/>
          </w:tcPr>
          <w:p>
            <w:pPr>
              <w:spacing w:before="0" w:after="0" w:line="264" w:lineRule="auto"/>
              <w:ind w:firstLine="0"/>
              <w:jc w:val="left"/>
              <w:rPr/>
            </w:pPr>
            <w:r>
              <w:rPr>
                <w:rFonts w:hint="eastAsia"/>
                <w:sz w:val="17"/>
                <w:lang w:eastAsia="zh-CN"/>
              </w:rPr>
              <w:t xml:space="preserve">未取得确认集团统一新政策的公开文件；个别尚客优、尚客优悦门店的情况不能推及“尚客优选”统计组或其全部子品牌</w:t>
            </w:r>
          </w:p>
        </w:tc>
      </w:tr>
    </w:tbl>
    <w:p>
      <w:pPr>
        <w:pStyle w:val="175"/>
        <w:rPr/>
      </w:pPr>
      <w:r>
        <w:t xml:space="preserve">注：除标明为样本门店的页面外，表中门店均不在558家样本之内。核查只查看公开页面，未回访门店，未实际入住。各页面网址和核查日期见附录八（五）。</w:t>
      </w:r>
    </w:p>
    <w:p>
      <w:pPr>
        <w:rPr/>
      </w:pPr>
      <w:r>
        <w:t xml:space="preserve">华住方面，原报告记录的是调研期间预订页的“服务型宠物”表述、2025年5月华住对舆论事件的公开回应和2025年6月30日的客服答复，这些都作为历史材料保留。2026年10月所见的部分携程页面已用“服务型动物”单独一栏，但同一品牌仍有门店标注不允许。总部要求与单店页面之间的不一致仍然存在，不能认为华住旗下门店页面已全部统一。另需说明，核查中的全季深圳北站地铁站店，与样本中的全季深圳北站店（龙华区民治大道637号）不是同一门店名称，本报告按非样本门店处理。</w:t>
      </w:r>
    </w:p>
    <w:p>
      <w:pPr>
        <w:rPr/>
      </w:pPr>
      <w:r>
        <w:t xml:space="preserve">锦江方面，表1依据的是锦江会客服中心2025年6月30日的回电，客服当时概括为接待导盲犬、查验导盲犬证和疫苗接种证明。这一记录按原样保留，不把2026年官网所列的完整证件组合补写进当时的客服答复。2026年10月所见的官网门店条款，让当前的政策讨论有了书面来源，但仍有几处需要集团说明：住客能否选择普通客房；无障碍客房订满时如何安排；这种安排是否影响房价；无法提供证件时将人犬分开安置的依据和适用条件。条款中以残疾人证颜色描述视力残疾的内容，也需要集团复核，本报告不将其作为认可的标准。专门条款没有明确承诺免收额外押金或清洁费，不能把未列收费理解为承诺不收；普通宠物收费同样不能自动适用于导盲犬。由于未找到这些条款的修订日期，无法判断相关内容何时加入。</w:t>
      </w:r>
    </w:p>
    <w:p>
      <w:pPr>
        <w:rPr/>
      </w:pPr>
      <w:r>
        <w:t xml:space="preserve">锦江酒店2025年ESG报告（2026年披露）还介绍了丽怡品牌在华南地区的视障友好试点。丽怡不属于本报告的十个样本品牌，这一实践不能推及维也纳、7天、锦江之星、麗枫四个样本品牌，也不能推及集团全部门店；报告所述实践期为2025年，披露时间为2026年，不能据此推断试点始于2025年6月之后。</w:t>
      </w:r>
    </w:p>
    <w:p>
      <w:pPr>
        <w:rPr/>
      </w:pPr>
      <w:r>
        <w:t xml:space="preserve">首旅如家方面，2025年6月咨询时集团客服无法提供统一书面材料，这一记录保留不变。2026年10月所见的部分官方门店页面已写明导盲犬例外，因此不宜说如家目前完全没有书面接待信息；但这些简短告示没有说明证件、收费、房型和餐厅通行，不能证明已有完整的全国统一流程。告示显示的有效期不是经独立核实的首次发布日期，部分有效期起点早于2025年6月，不能把这些告示统称为调查之后新出台的政策。</w:t>
      </w:r>
    </w:p>
    <w:p>
      <w:pPr>
        <w:rPr/>
      </w:pPr>
      <w:r>
        <w:t xml:space="preserve">格林、东呈和尚美数智三方面，本次核查都没有取得确认集团已建立全国统一新制度的公开文件。三家旗下门店页面都同时存在允许和禁止的标注，这与调研期间集团与门店答复不一致的情况相符（见本节（一）及表1）。格林官网入住须知对宠物问题只要求提前与前台沟通、按门店规定处理，没有写导盲犬例外；这类普通宠物条款不能解读为直接禁止导盲犬，也不能替代导盲犬接待规则。“尚客优选”是本报告的统计组名称（见附录一（一）），个别尚客优或尚客优悦门店的标注，不能推及整个统计组或其全部子品牌。</w:t>
      </w:r>
    </w:p>
    <w:p>
      <w:pPr>
        <w:rPr/>
      </w:pPr>
      <w:r>
        <w:t xml:space="preserve">与正文案例对照时，需要分开三类信息：调研期间的电话结果、当前页面标注，以及尚待核实的门店身份或执行情况。案例结果均按原记录保留，不因当前页面而改写。调研工作表也记录了部分样本门店在调研期间的平台标注，可一并对照：</w:t>
      </w:r>
    </w:p>
    <w:p>
      <w:pPr>
        <w:pStyle w:val="16"/>
        <w:rPr/>
      </w:pPr>
      <w:r>
        <w:t xml:space="preserve">S38 哈尔滨格林豪泰中央大街店：调研期间的电话咨询最终被拒绝。工作表记录的当时平台标注已是“允许携带服务型动物（需提前联系酒店）”，2026年10月的页面仍为允许。页面允许与前台实际答复可以并不一致；这家门店现在是否按页面接待，需要优先回访核实，不能视为已由拒绝转为接待。</w:t>
      </w:r>
    </w:p>
    <w:p>
      <w:pPr>
        <w:pStyle w:val="16"/>
        <w:rPr/>
      </w:pPr>
      <w:r>
        <w:t xml:space="preserve">S28 广州格林豪泰番禺广场店：调研期间为沟通后拒绝，当时平台标注为“不可携带服务型动物”；2026年10月的页面仍标注不允许。这一标注不是对门店当前现场拒绝的新核实。</w:t>
      </w:r>
    </w:p>
    <w:p>
      <w:pPr>
        <w:pStyle w:val="16"/>
        <w:rPr/>
      </w:pPr>
      <w:r>
        <w:t xml:space="preserve">S07 广州7天东风东路杨箕地铁站店：调研期间为沟通后同意，门店回电时仍说不清是否查验导盲犬工作证和免疫证明。调研期间和2026年10月的页面都标注允许携带服务型动物、需提前联系，但没有完整写明证件要求，这一信息缺口仍然存在。</w:t>
      </w:r>
    </w:p>
    <w:p>
      <w:pPr>
        <w:pStyle w:val="16"/>
        <w:rPr/>
      </w:pPr>
      <w:r>
        <w:t xml:space="preserve">S11 贵阳如家火车站鸿通城购物中心店：工作表记录的地址为南明区四通街8号，电话0851-88571555。首旅如家官网ID为085105的候选门店现名“如家·neo-贵阳火车站甲秀楼青云市集店”，页面写有导盲犬例外；本次修订于2026年10月11日另行查看该页面，所列地址为南明区遵义路105号万象国际，电话0851-88572888，与工作表记录不一致。在核实二者是否为同一门店之前，不将其作为本案例的后续观察，也不认为原先要求改订家庭房的条件已经取消。</w:t>
      </w:r>
    </w:p>
    <w:p>
      <w:pPr>
        <w:pStyle w:val="16"/>
        <w:rPr/>
      </w:pPr>
      <w:r>
        <w:t xml:space="preserve">S01 合肥7天火车站地铁站店：调研期间为直接同意，工作表备注需交200元押金。2026年10月的携程页面只显示禁止普通宠物，未见单独的服务型动物栏目。这属于信息缺失，不等于明确拒绝导盲犬。</w:t>
      </w:r>
    </w:p>
    <w:p>
      <w:pPr>
        <w:pStyle w:val="16"/>
        <w:rPr/>
      </w:pPr>
      <w:r>
        <w:t xml:space="preserve">S21 长春格林豪泰和平大街地铁站店、S34 成都尚客优悦石板滩东风街店：两家门店2026年10月的页面均标注允许携带服务型动物。按工作表记录，S21在调研期间经向集团总部投诉后沟通同意，当时未记录平台标注；S34在调研期间沟通后拒绝，当时平台标注已为允许。两例都不能描述为“由拒绝转为允许”。</w:t>
      </w:r>
    </w:p>
    <w:p>
      <w:pPr>
        <w:pStyle w:val="16"/>
        <w:rPr/>
      </w:pPr>
      <w:r>
        <w:t xml:space="preserve">S09 慈溪城市便捷爱琴海孙塘北路店：携程候选页面（ID 46824678）现显示为“城市优捷酒店慈溪环创爱琴海购物中心店”，地址孙塘北路1155号，与工作表记录的地址一致，但品牌名称已不同。改名、品牌归属和经营主体尚未核实，暂不作为同一门店的后续样本。</w:t>
      </w:r>
    </w:p>
    <w:p>
      <w:pPr>
        <w:rPr/>
      </w:pPr>
      <w:r>
        <w:t xml:space="preserve">总体来看，2026年10月的公开信息显示，部分集团和门店已有更明确的书面表述，但同一品牌内的门店页面仍不一致，多数条款没有日期，证件、收费和房型等使用者最关心的事项也常常没有写清。这些观察只反映页面表述，不代表门店的实际接待已经改善；样本门店是否按页面接待，需要通过回访或入住观察核实。</w:t>
      </w:r>
    </w:p>
    <w:p w14:paraId="18F7954C">
      <w:pPr>
        <w:pStyle w:val="5"/>
      </w:pPr>
      <w:r>
        <w:t xml:space="preserve">（</w:t>
      </w:r>
      <w:r>
        <w:t xml:space="preserve">三</w:t>
      </w:r>
      <w:r>
        <w:t xml:space="preserve">）公开信息与渠道传递</w:t>
      </w:r>
    </w:p>
    <w:p w14:paraId="02F68331">
      <w:pPr>
        <w:rPr>
          <w:rFonts w:hint="eastAsia"/>
        </w:rPr>
      </w:pPr>
      <w:r>
        <w:rPr>
          <w:rFonts w:hint="eastAsia"/>
        </w:rPr>
        <w:t>在线预订平台、集团客服和门店前台应提供一致、可执行的接待信息，有差异时由服务方内部解决，使用者问任何一处都</w:t>
      </w:r>
      <w:r>
        <w:rPr>
          <w:rFonts w:hint="eastAsia"/>
          <w:lang w:val="en-US" w:eastAsia="zh-CN"/>
        </w:rPr>
        <w:t>应该</w:t>
      </w:r>
      <w:r>
        <w:rPr>
          <w:rFonts w:hint="eastAsia"/>
        </w:rPr>
        <w:t xml:space="preserve">能得到同样的答复。</w:t>
      </w:r>
      <w:r>
        <w:rPr>
          <w:rFonts w:hint="eastAsia"/>
        </w:rPr>
        <w:t xml:space="preserve">这一点</w:t>
      </w:r>
      <w:r>
        <w:rPr>
          <w:rFonts w:hint="eastAsia"/>
        </w:rPr>
        <w:t xml:space="preserve">在调研期间</w:t>
      </w:r>
      <w:r>
        <w:rPr>
          <w:rFonts w:hint="eastAsia"/>
        </w:rPr>
        <w:t xml:space="preserve">做</w:t>
      </w:r>
      <w:r>
        <w:rPr>
          <w:rFonts w:hint="eastAsia"/>
        </w:rPr>
        <w:t xml:space="preserve">到了多少？</w:t>
      </w:r>
      <w:r>
        <w:rPr>
          <w:rFonts w:hint="eastAsia"/>
        </w:rPr>
        <w:t xml:space="preserve">我</w:t>
      </w:r>
      <w:r>
        <w:rPr>
          <w:rFonts w:hint="eastAsia"/>
        </w:rPr>
        <w:t xml:space="preserve">们从平台标注、总部规则和查验要求三个方面，查看</w:t>
      </w:r>
      <w:r>
        <w:rPr>
          <w:rFonts w:hint="eastAsia"/>
        </w:rPr>
        <w:t xml:space="preserve">当时的</w:t>
      </w:r>
      <w:r>
        <w:rPr>
          <w:rFonts w:hint="eastAsia"/>
        </w:rPr>
        <w:t xml:space="preserve">接</w:t>
      </w:r>
      <w:r>
        <w:rPr>
          <w:rFonts w:hint="eastAsia"/>
        </w:rPr>
        <w:t xml:space="preserve">待信息有没有传到各个岗位：</w:t>
      </w:r>
    </w:p>
    <w:p w14:paraId="5FB7F7CB">
      <w:pPr>
        <w:pStyle w:val="16"/>
        <w:rPr>
          <w:rFonts w:hint="eastAsia"/>
        </w:rPr>
      </w:pPr>
      <w:r>
        <w:rPr>
          <w:rFonts w:hint="eastAsia"/>
        </w:rPr>
        <w:t xml:space="preserve">平台标注：在线预订平台是否对服务犬入住设有明确、醒目的标注；</w:t>
      </w:r>
    </w:p>
    <w:p w14:paraId="41DC2DFD">
      <w:pPr>
        <w:pStyle w:val="16"/>
        <w:rPr>
          <w:rFonts w:hint="eastAsia"/>
        </w:rPr>
      </w:pPr>
      <w:r>
        <w:rPr>
          <w:rFonts w:hint="eastAsia"/>
        </w:rPr>
        <w:t>总部规则：集团总部是否具备自上而下、全国统一的接待规章；</w:t>
      </w:r>
    </w:p>
    <w:p w14:paraId="77F22626">
      <w:pPr>
        <w:pStyle w:val="16"/>
        <w:rPr>
          <w:rFonts w:hint="eastAsia"/>
        </w:rPr>
      </w:pPr>
      <w:r>
        <w:rPr>
          <w:rFonts w:hint="eastAsia"/>
        </w:rPr>
        <w:t xml:space="preserve">查验要求：官方客服能否清晰、准确地告知到店所需核验的资质材料。</w:t>
      </w:r>
    </w:p>
    <w:p w14:paraId="370070FB">
      <w:pPr>
        <w:rPr>
          <w:rFonts w:hint="eastAsia"/>
        </w:rPr>
      </w:pPr>
      <w:r>
        <w:rPr>
          <w:rFonts w:hint="eastAsia"/>
        </w:rPr>
        <w:t>图8呈现了各品牌在平台标注、总部规则及查验要求三个维度的分项得分与综合总分。总分越高，说明调研中查到的平台标注、总部规则和查验要求越明确；信息缺失、标注为拒绝或规则以门店为准的情况越多，得分越低（具体赋值规则详见附录二（五）“品牌政策信息清晰度评分”）。</w:t>
      </w:r>
      <w:r>
        <w:rPr>
          <w:rFonts w:hint="eastAsia"/>
        </w:rPr>
        <w:t xml:space="preserve">图8依据调研期间的平台标注和2025年6月的客服答复评分，不因2026年10月的公开信息补充而调整。</w:t>
      </w:r>
    </w:p>
    <w:p w14:paraId="27108E7D">
      <w:r>
        <w:t>以汉庭为例，平台标注原始均值为0.24，按阈值换算为2分；总部接待规则2分，查验要求1分，合计5分。总分反映集团政策及公开信息的清晰程度。按附录的阈值，品牌均值达到0.10即得满分2分；汉庭的原始均值0.24意味着，明确允许导盲犬入住的门店比例只比带有拒绝性标注的门店比例高24个百分点。因此，5分是本评分体系下的最高分，并不代表平台标注已经充分，阅读时应同时参考原始均值。</w:t>
      </w:r>
    </w:p>
    <w:p w14:paraId="41370B7B">
      <w:pPr>
        <w:keepNext/>
        <w:spacing w:after="40"/>
        <w:jc w:val="center"/>
      </w:pPr>
      <w:r>
        <w:drawing>
          <wp:inline distT="0" distB="0" distL="0" distR="0">
            <wp:extent cx="5486400" cy="4572000"/>
            <wp:effectExtent l="0" t="0" r="0" b="0"/>
            <wp:docPr id="25" name="Picture 25" descr="表格式图表，列出10个品牌的平台标注原始均值、平台标注映射分、总部接待规则明确度、查验要求清晰度和政策信息清晰度总分。汉庭和全季均为5分，城市便捷为负3分。" title="表格式图表，列出10个品牌的平台标注原始均值、平台标注映射分、总部接待规则明确度、查验要求清晰度和政策信息清晰度总分。汉庭和全季均为5分，城市便捷为负3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表格式图表，列出10个品牌的平台标注原始均值、平台标注映射分、总部接待规则明确度、查验要求清晰度和政策信息清晰度总分。汉庭和全季均为5分，城市便捷为负3分。" title="表格式图表，列出10个品牌的平台标注原始均值、平台标注映射分、总部接待规则明确度、查验要求清晰度和政策信息清晰度总分。汉庭和全季均为5分，城市便捷为负3分。"/>
                    <pic:cNvPicPr>
                      <a:picLocks noChangeAspect="1"/>
                    </pic:cNvPicPr>
                  </pic:nvPicPr>
                  <pic:blipFill>
                    <a:blip r:embed="rId15"/>
                    <a:stretch>
                      <a:fillRect/>
                    </a:stretch>
                  </pic:blipFill>
                  <pic:spPr>
                    <a:xfrm>
                      <a:off x="0" y="0"/>
                      <a:ext cx="5486400" cy="4572000"/>
                    </a:xfrm>
                    <a:prstGeom prst="rect">
                      <a:avLst/>
                    </a:prstGeom>
                  </pic:spPr>
                </pic:pic>
              </a:graphicData>
            </a:graphic>
          </wp:inline>
        </w:drawing>
      </w:r>
    </w:p>
    <w:p w14:paraId="77C03EC1">
      <w:pPr>
        <w:pStyle w:val="174"/>
      </w:pPr>
      <w:r>
        <w:t>图8　品牌政策信息清晰度构成与得分（n=10个品牌）</w:t>
      </w:r>
    </w:p>
    <w:p w14:paraId="13A1C2A0">
      <w:pPr>
        <w:rPr>
          <w:rFonts w:hint="eastAsia"/>
        </w:rPr>
      </w:pPr>
      <w:r>
        <w:rPr>
          <w:rFonts w:hint="eastAsia"/>
        </w:rPr>
        <w:t xml:space="preserve">汉庭与全季均获得最高分5分，其集团制度与查验标准相对明晰，在线预订平台也有一定程度的落实。然而，</w:t>
      </w:r>
      <w:r>
        <w:rPr>
          <w:rFonts w:hint="eastAsia"/>
        </w:rPr>
        <w:t xml:space="preserve">调研期间</w:t>
      </w:r>
      <w:r>
        <w:rPr>
          <w:rFonts w:hint="eastAsia"/>
        </w:rPr>
        <w:t xml:space="preserve">平台标注的原始均值仍然偏低，</w:t>
      </w:r>
      <w:r>
        <w:rPr>
          <w:rFonts w:hint="eastAsia"/>
        </w:rPr>
        <w:t xml:space="preserve">部分门店页面缺乏接待说明，甚至保留着拒绝性表述。</w:t>
      </w:r>
      <w:r>
        <w:rPr>
          <w:rFonts w:hint="eastAsia"/>
        </w:rPr>
        <w:t xml:space="preserve">预订页面没写清楚，或者和前台说的不一样，使用者就只能再打电话问</w:t>
      </w:r>
      <w:r>
        <w:rPr>
          <w:rFonts w:hint="eastAsia"/>
        </w:rPr>
        <w:t xml:space="preserve">。</w:t>
      </w:r>
    </w:p>
    <w:p w14:paraId="08A9D094">
      <w:pPr>
        <w:rPr>
          <w:rFonts w:hint="eastAsia"/>
        </w:rPr>
      </w:pPr>
      <w:r>
        <w:rPr>
          <w:rFonts w:hint="eastAsia"/>
        </w:rPr>
        <w:t xml:space="preserve">锦江集团旗下的维也纳（4分）、麗枫（2分）、锦江之星（2分）与7天（1分）均适用相同的集团总部规定及查验要求，分值差距均来自预订平台标注。也就是说，集团</w:t>
      </w:r>
      <w:r>
        <w:rPr>
          <w:rFonts w:hint="eastAsia"/>
        </w:rPr>
        <w:t xml:space="preserve">客服在2025年6月30日的回电中给出了统一要求，但调研期间</w:t>
      </w:r>
      <w:r>
        <w:rPr>
          <w:rFonts w:hint="eastAsia"/>
        </w:rPr>
        <w:t xml:space="preserve">部分品牌和门店的</w:t>
      </w:r>
      <w:r>
        <w:rPr>
          <w:rFonts w:hint="eastAsia"/>
          <w:lang w:val="en-US" w:eastAsia="zh-CN"/>
        </w:rPr>
        <w:t>平台</w:t>
      </w:r>
      <w:r>
        <w:rPr>
          <w:rFonts w:hint="eastAsia"/>
        </w:rPr>
        <w:t>预订页面仍未写明或写法不同。</w:t>
      </w:r>
    </w:p>
    <w:p w14:paraId="17E8BA7C">
      <w:pPr>
        <w:rPr>
          <w:rFonts w:hint="eastAsia"/>
        </w:rPr>
      </w:pPr>
      <w:r>
        <w:rPr>
          <w:rFonts w:hint="eastAsia"/>
        </w:rPr>
        <w:t xml:space="preserve">如家客服虽然表达了协助意愿并说明了查验要求，但</w:t>
      </w:r>
      <w:r>
        <w:rPr>
          <w:rFonts w:hint="eastAsia"/>
        </w:rPr>
        <w:t xml:space="preserve">调研期间未能获得</w:t>
      </w:r>
      <w:r>
        <w:rPr>
          <w:rFonts w:hint="eastAsia"/>
        </w:rPr>
        <w:t xml:space="preserve">集团层面的统一书面规范，服务主要依赖客服人员的个案协调；其平台标注原始均值为−0.15（在10个品牌中垫底，映射为−2分），综合得分仅为0分。</w:t>
      </w:r>
    </w:p>
    <w:p w14:paraId="6B9998D0">
      <w:pPr>
        <w:rPr>
          <w:rFonts w:hint="eastAsia"/>
        </w:rPr>
      </w:pPr>
      <w:r>
        <w:rPr>
          <w:rFonts w:hint="eastAsia"/>
        </w:rPr>
        <w:t xml:space="preserve">尚客优选（−1分）、格林豪泰（−1分）与城市便捷（−3分）综合得分均为负值，主要原因是</w:t>
      </w:r>
      <w:r>
        <w:rPr>
          <w:rFonts w:hint="eastAsia"/>
        </w:rPr>
        <w:t xml:space="preserve">调研期间未能获得明确的集团规则，客服也未说明查验要求</w:t>
      </w:r>
      <w:r>
        <w:rPr>
          <w:rFonts w:hint="eastAsia"/>
        </w:rPr>
        <w:t xml:space="preserve">，接待与否更多取决于具体门店或接听人员。</w:t>
      </w:r>
      <w:r>
        <w:rPr>
          <w:rFonts w:hint="eastAsia"/>
        </w:rPr>
        <w:t xml:space="preserve">这三个品牌的最终拒绝率</w:t>
      </w:r>
      <w:r>
        <w:rPr>
          <w:rFonts w:hint="eastAsia"/>
        </w:rPr>
        <w:t xml:space="preserve">和</w:t>
      </w:r>
      <w:r>
        <w:rPr>
          <w:rFonts w:hint="eastAsia"/>
        </w:rPr>
        <w:t xml:space="preserve">平均通话次数</w:t>
      </w:r>
      <w:r>
        <w:rPr>
          <w:rFonts w:hint="eastAsia"/>
        </w:rPr>
        <w:t xml:space="preserve">也普遍偏高。不过，参与比较的品牌只有10个，</w:t>
      </w:r>
      <w:r>
        <w:rPr>
          <w:rFonts w:hint="eastAsia"/>
        </w:rPr>
        <w:t xml:space="preserve">锦江旗下品牌</w:t>
      </w:r>
      <w:r>
        <w:rPr>
          <w:rFonts w:hint="eastAsia"/>
        </w:rPr>
        <w:t xml:space="preserve">又是明显例外（</w:t>
      </w:r>
      <w:r>
        <w:rPr>
          <w:rFonts w:hint="eastAsia"/>
        </w:rPr>
        <w:t xml:space="preserve">见本节（</w:t>
      </w:r>
      <w:r>
        <w:rPr>
          <w:rFonts w:hint="eastAsia"/>
        </w:rPr>
        <w:t xml:space="preserve">四</w:t>
      </w:r>
      <w:r>
        <w:rPr>
          <w:rFonts w:hint="eastAsia"/>
        </w:rPr>
        <w:t xml:space="preserve">）），政策清晰度与</w:t>
      </w:r>
      <w:r>
        <w:rPr>
          <w:rFonts w:hint="eastAsia"/>
        </w:rPr>
        <w:t xml:space="preserve">接待结果之间的</w:t>
      </w:r>
      <w:r>
        <w:rPr>
          <w:rFonts w:hint="eastAsia"/>
        </w:rPr>
        <w:t xml:space="preserve">关系只能</w:t>
      </w:r>
      <w:r>
        <w:rPr>
          <w:rFonts w:hint="eastAsia"/>
        </w:rPr>
        <w:t xml:space="preserve">作描述性参考。</w:t>
      </w:r>
    </w:p>
    <w:p w14:paraId="7E885034">
      <w:pPr>
        <w:pStyle w:val="5"/>
      </w:pPr>
      <w:r>
        <w:t xml:space="preserve">（</w:t>
      </w:r>
      <w:r>
        <w:t xml:space="preserve">四</w:t>
      </w:r>
      <w:r>
        <w:t xml:space="preserve">）客服与门店执行</w:t>
      </w:r>
    </w:p>
    <w:p w14:paraId="2C3B99EE">
      <w:pPr>
        <w:rPr>
          <w:rFonts w:hint="eastAsia"/>
          <w:lang w:eastAsia="zh-CN"/>
        </w:rPr>
      </w:pPr>
      <w:r>
        <w:rPr>
          <w:rFonts w:hint="eastAsia"/>
          <w:lang w:eastAsia="zh-CN"/>
        </w:rPr>
        <w:t xml:space="preserve">被门店拒绝后，使用者常常会打集团客服电话求助</w:t>
      </w:r>
      <w:r>
        <w:rPr>
          <w:rFonts w:hint="eastAsia"/>
          <w:lang w:eastAsia="zh-CN"/>
        </w:rPr>
        <w:t xml:space="preserve">。客服是否了解导盲犬入住政策、能否识别相关咨询、说明查验材料并联系门店协调，会影响集团规则能否在一次具体咨询中用上；实际接待还取决于门店的授权和交接。</w:t>
      </w:r>
    </w:p>
    <w:p w14:paraId="360A601E">
      <w:r>
        <w:t>图9比较</w:t>
      </w:r>
      <w:r>
        <w:rPr>
          <w:rFonts w:hint="eastAsia"/>
          <w:lang w:eastAsia="zh-CN"/>
        </w:rPr>
        <w:t xml:space="preserve">2025年6月集团客服热线咨询中，</w:t>
      </w:r>
      <w:r>
        <w:t>客服在政策熟悉度和主动回应方面的表现，评分对象是</w:t>
      </w:r>
      <w:r>
        <w:rPr>
          <w:rFonts w:hint="eastAsia"/>
          <w:lang w:eastAsia="zh-CN"/>
        </w:rPr>
        <w:t>集团</w:t>
      </w:r>
      <w:r>
        <w:t>客服理解和传达规则的能力。完整规则列于附录二（六）“集团客服政策熟悉度评分”。</w:t>
      </w:r>
    </w:p>
    <w:p w14:paraId="47163D28">
      <w:pPr>
        <w:keepNext/>
        <w:spacing w:after="40"/>
        <w:jc w:val="center"/>
      </w:pPr>
      <w:r>
        <w:drawing>
          <wp:inline distT="0" distB="0" distL="0" distR="0">
            <wp:extent cx="5486400" cy="3169920"/>
            <wp:effectExtent l="0" t="0" r="0" b="0"/>
            <wp:docPr id="26" name="Picture 26" descr="表格式图表，列出6个集团及代表品牌的政策熟悉度、主动回应和综合得分。华住和首旅均为3分，尚美数智为负1分，锦江、格林和东呈均为负2分。" title="表格式图表，列出6个集团及代表品牌的政策熟悉度、主动回应和综合得分。华住和首旅均为3分，尚美数智为负1分，锦江、格林和东呈均为负2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表格式图表，列出6个集团及代表品牌的政策熟悉度、主动回应和综合得分。华住和首旅均为3分，尚美数智为负1分，锦江、格林和东呈均为负2分。" title="表格式图表，列出6个集团及代表品牌的政策熟悉度、主动回应和综合得分。华住和首旅均为3分，尚美数智为负1分，锦江、格林和东呈均为负2分。"/>
                    <pic:cNvPicPr>
                      <a:picLocks noChangeAspect="1"/>
                    </pic:cNvPicPr>
                  </pic:nvPicPr>
                  <pic:blipFill>
                    <a:blip r:embed="rId16"/>
                    <a:stretch>
                      <a:fillRect/>
                    </a:stretch>
                  </pic:blipFill>
                  <pic:spPr>
                    <a:xfrm>
                      <a:off x="0" y="0"/>
                      <a:ext cx="5486400" cy="3169920"/>
                    </a:xfrm>
                    <a:prstGeom prst="rect">
                      <a:avLst/>
                    </a:prstGeom>
                  </pic:spPr>
                </pic:pic>
              </a:graphicData>
            </a:graphic>
          </wp:inline>
        </w:drawing>
      </w:r>
    </w:p>
    <w:p w14:paraId="3B3514B4">
      <w:pPr>
        <w:pStyle w:val="174"/>
      </w:pPr>
      <w:r>
        <w:t>图9　集团客服的政策熟悉度与主动回应得分（n=6个集团）</w:t>
      </w:r>
    </w:p>
    <w:p w14:paraId="04BE96CD">
      <w:pPr>
        <w:rPr>
          <w:rFonts w:hint="eastAsia"/>
        </w:rPr>
      </w:pPr>
      <w:r>
        <w:rPr>
          <w:rFonts w:hint="eastAsia"/>
        </w:rPr>
        <w:t>各集团客服的得分差别较大：</w:t>
      </w:r>
    </w:p>
    <w:p w14:paraId="0DFFBBA4">
      <w:pPr>
        <w:pStyle w:val="16"/>
        <w:rPr>
          <w:rFonts w:hint="eastAsia"/>
        </w:rPr>
      </w:pPr>
      <w:r>
        <w:rPr>
          <w:rFonts w:hint="eastAsia"/>
        </w:rPr>
        <w:t>华住集团与首旅如家集团（图9中简称“首旅集团”）均获满分3分，其客服人员能快速识别导盲犬问题，并主动或较完整地说明查验材料与接待要求；</w:t>
      </w:r>
    </w:p>
    <w:p w14:paraId="06954129">
      <w:pPr>
        <w:pStyle w:val="16"/>
        <w:rPr>
          <w:rFonts w:hint="eastAsia"/>
        </w:rPr>
      </w:pPr>
      <w:r>
        <w:rPr>
          <w:rFonts w:hint="eastAsia"/>
        </w:rPr>
        <w:t>尚美数智集团为−1分；锦江集团、格林酒店集团和东呈集团均为−2分。</w:t>
      </w:r>
    </w:p>
    <w:p w14:paraId="3116ABE3">
      <w:pPr>
        <w:rPr>
          <w:rFonts w:hint="eastAsia"/>
          <w:lang w:eastAsia="zh-CN"/>
        </w:rPr>
      </w:pPr>
      <w:r>
        <w:rPr>
          <w:rFonts w:hint="eastAsia"/>
        </w:rPr>
        <w:t xml:space="preserve">在</w:t>
      </w:r>
      <w:r>
        <w:rPr>
          <w:rFonts w:hint="eastAsia"/>
        </w:rPr>
        <w:t xml:space="preserve">2025年6月的咨询中，</w:t>
      </w:r>
      <w:r>
        <w:rPr>
          <w:rFonts w:hint="eastAsia"/>
        </w:rPr>
        <w:t xml:space="preserve">得</w:t>
      </w:r>
      <w:r>
        <w:rPr>
          <w:rFonts w:hint="eastAsia"/>
        </w:rPr>
        <w:t xml:space="preserve">分较低的集团</w:t>
      </w:r>
      <w:r>
        <w:rPr>
          <w:rFonts w:hint="eastAsia"/>
        </w:rPr>
        <w:t xml:space="preserve">里</w:t>
      </w:r>
      <w:r>
        <w:rPr>
          <w:rFonts w:hint="eastAsia"/>
        </w:rPr>
        <w:t xml:space="preserve">，客服有的查不到规则，有的无法说明统一要求，有的把决定推回门店，也有的把导盲犬当作普通宠物。部分客服认同门店的拒绝理由，没有继续协调。使用者为寻求帮助联系集团客服，却还要把已经向前台说明过的需求、导盲犬的工作属性和法律依据再解释一遍。</w:t>
      </w:r>
    </w:p>
    <w:p w14:paraId="3F6AE126">
      <w:pPr>
        <w:rPr>
          <w:rFonts w:hint="eastAsia"/>
          <w:lang w:eastAsia="zh-CN"/>
        </w:rPr>
      </w:pPr>
      <w:r>
        <w:rPr>
          <w:rFonts w:hint="eastAsia"/>
        </w:rPr>
        <w:t xml:space="preserve">锦江集团客服的答复前后不一致。通话录音显示，锦江会客服中心在2025年6月30日的一次官方回电中明确表态，旗下各品牌门店“不允许不接待导盲犬”；然而在同日及此前的另外两次咨询中，接线客服均表示系统查无此规，甚至有客服建议咨询者改订其他可容纳宠物的酒店。集团能给出统一答复，</w:t>
      </w:r>
      <w:r>
        <w:rPr>
          <w:rFonts w:hint="eastAsia"/>
        </w:rPr>
        <w:t xml:space="preserve">并不等于规则已经到达每一位客服和接待岗位。</w:t>
      </w:r>
    </w:p>
    <w:p w14:paraId="4F7E4ED8">
      <w:pPr>
        <w:pStyle w:val="4"/>
      </w:pPr>
      <w:bookmarkStart w:id="22" w:name="_Toc239432611"/>
      <w:bookmarkStart w:id="23" w:name="_Toc242417913"/>
      <w:r>
        <w:rPr>
          <w:rFonts w:ascii="宋体" w:hAnsi="宋体" w:eastAsia="宋体"/>
          <w:b w:val="0"/>
        </w:rPr>
        <w:t>二 一线认知与风险判断</w:t>
      </w:r>
      <w:bookmarkEnd w:id="22"/>
      <w:bookmarkEnd w:id="23"/>
    </w:p>
    <w:p w14:paraId="23911795">
      <w:pPr>
        <w:rPr>
          <w:rFonts w:hint="eastAsia"/>
          <w:lang w:eastAsia="zh-CN"/>
        </w:rPr>
      </w:pPr>
      <w:r>
        <w:rPr>
          <w:rFonts w:hint="eastAsia"/>
          <w:lang w:eastAsia="zh-CN"/>
        </w:rPr>
        <w:t>规则不清、培训不足或缺少授权时，一线工作人员可能更多依赖自己对犬只和视障者的既有印象，担心卫生、噪音、安全、财产损耗和其他住客反应，或怀疑住客能否独立入住。这些判断不仅影响门店是否接待，还会变成使用者必须额外回答的问题和被迫接受的条件。</w:t>
      </w:r>
    </w:p>
    <w:p w14:paraId="0D5AB595">
      <w:pPr>
        <w:rPr>
          <w:rFonts w:hint="eastAsia"/>
          <w:lang w:eastAsia="zh-CN"/>
        </w:rPr>
      </w:pPr>
      <w:r>
        <w:rPr>
          <w:rFonts w:hint="eastAsia"/>
          <w:lang w:eastAsia="zh-CN"/>
        </w:rPr>
        <w:t xml:space="preserve">在全部担忧与理由标签中，围绕导盲犬的担忧合计占84.5%，围绕视障者本人的担忧占15.5%。表</w:t>
      </w:r>
      <w:r>
        <w:rPr>
          <w:rFonts w:hint="eastAsia"/>
          <w:lang w:eastAsia="zh-CN"/>
        </w:rPr>
        <w:t xml:space="preserve">3</w:t>
      </w:r>
      <w:r>
        <w:rPr>
          <w:rFonts w:hint="eastAsia"/>
          <w:lang w:eastAsia="zh-CN"/>
        </w:rPr>
        <w:t xml:space="preserve">列出了各类担忧出现的次数和比例</w:t>
      </w:r>
      <w:r>
        <w:rPr>
          <w:rFonts w:hint="eastAsia"/>
          <w:lang w:eastAsia="zh-CN"/>
        </w:rPr>
        <w:t xml:space="preserve">。</w:t>
      </w:r>
    </w:p>
    <w:p w14:paraId="6BF4BC77">
      <w:pPr>
        <w:pStyle w:val="174"/>
        <w:pageBreakBefore/>
      </w:pPr>
      <w:r>
        <w:rPr>
          <w:rFonts w:ascii="宋体" w:hAnsi="宋体"/>
          <w:b w:val="0"/>
        </w:rPr>
        <w:t xml:space="preserve">表</w:t>
      </w:r>
      <w:r>
        <w:rPr>
          <w:rFonts w:ascii="宋体" w:hAnsi="宋体"/>
          <w:b w:val="0"/>
        </w:rPr>
        <w:t xml:space="preserve">3</w:t>
      </w:r>
      <w:r>
        <w:rPr>
          <w:rFonts w:ascii="宋体" w:hAnsi="宋体"/>
          <w:b w:val="0"/>
        </w:rPr>
        <w:t xml:space="preserve">　酒店对导盲犬及其使用者的担忧与理由</w:t>
      </w:r>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274"/>
        <w:gridCol w:w="1592"/>
        <w:gridCol w:w="1150"/>
        <w:gridCol w:w="1500"/>
        <w:gridCol w:w="2764"/>
      </w:tblGrid>
      <w:tr w14:paraId="731DF65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274" w:type="dxa"/>
            <w:shd w:val="clear" w:color="auto" w:fill="2C2C2C"/>
            <w:tcMar>
              <w:top w:w="90" w:type="dxa"/>
              <w:left w:w="100" w:type="dxa"/>
              <w:bottom w:w="90" w:type="dxa"/>
              <w:right w:w="100" w:type="dxa"/>
            </w:tcMar>
            <w:vAlign w:val="center"/>
          </w:tcPr>
          <w:p w14:paraId="26EF08EF">
            <w:pPr>
              <w:keepNext/>
              <w:spacing w:before="0" w:after="0" w:line="264" w:lineRule="auto"/>
              <w:ind w:firstLine="0"/>
              <w:jc w:val="center"/>
            </w:pPr>
            <w:r>
              <w:rPr>
                <w:rFonts w:eastAsia="黑体"/>
                <w:b/>
                <w:color w:val="FFFFFF"/>
                <w:sz w:val="17"/>
              </w:rPr>
              <w:t>担忧方向</w:t>
            </w:r>
          </w:p>
        </w:tc>
        <w:tc>
          <w:tcPr>
            <w:tcW w:w="1592" w:type="dxa"/>
            <w:shd w:val="clear" w:color="auto" w:fill="2C2C2C"/>
            <w:tcMar>
              <w:top w:w="90" w:type="dxa"/>
              <w:left w:w="100" w:type="dxa"/>
              <w:bottom w:w="90" w:type="dxa"/>
              <w:right w:w="100" w:type="dxa"/>
            </w:tcMar>
            <w:vAlign w:val="center"/>
          </w:tcPr>
          <w:p w14:paraId="3B367B49">
            <w:pPr>
              <w:keepNext/>
              <w:spacing w:before="0" w:after="0" w:line="264" w:lineRule="auto"/>
              <w:ind w:firstLine="0"/>
              <w:jc w:val="center"/>
            </w:pPr>
            <w:r>
              <w:rPr>
                <w:rFonts w:eastAsia="黑体"/>
                <w:b/>
                <w:color w:val="FFFFFF"/>
                <w:sz w:val="17"/>
              </w:rPr>
              <w:t>担忧类型</w:t>
            </w:r>
          </w:p>
        </w:tc>
        <w:tc>
          <w:tcPr>
            <w:tcW w:w="1150" w:type="dxa"/>
            <w:shd w:val="clear" w:color="auto" w:fill="2C2C2C"/>
            <w:tcMar>
              <w:top w:w="90" w:type="dxa"/>
              <w:left w:w="100" w:type="dxa"/>
              <w:bottom w:w="90" w:type="dxa"/>
              <w:right w:w="100" w:type="dxa"/>
            </w:tcMar>
            <w:vAlign w:val="center"/>
          </w:tcPr>
          <w:p w14:paraId="34247DC8">
            <w:pPr>
              <w:keepNext/>
              <w:spacing w:before="0" w:after="0" w:line="264" w:lineRule="auto"/>
              <w:ind w:firstLine="0"/>
              <w:jc w:val="center"/>
            </w:pPr>
            <w:r>
              <w:rPr>
                <w:rFonts w:eastAsia="黑体"/>
                <w:b/>
                <w:color w:val="FFFFFF"/>
                <w:sz w:val="17"/>
              </w:rPr>
              <w:t>频次</w:t>
            </w:r>
          </w:p>
        </w:tc>
        <w:tc>
          <w:tcPr>
            <w:tcW w:w="1500" w:type="dxa"/>
            <w:shd w:val="clear" w:color="auto" w:fill="2C2C2C"/>
            <w:tcMar>
              <w:top w:w="90" w:type="dxa"/>
              <w:left w:w="100" w:type="dxa"/>
              <w:bottom w:w="90" w:type="dxa"/>
              <w:right w:w="100" w:type="dxa"/>
            </w:tcMar>
            <w:vAlign w:val="center"/>
          </w:tcPr>
          <w:p w14:paraId="76FA2876">
            <w:pPr>
              <w:keepNext/>
              <w:spacing w:before="0" w:after="0" w:line="264" w:lineRule="auto"/>
              <w:ind w:firstLine="0"/>
              <w:jc w:val="center"/>
            </w:pPr>
            <w:r>
              <w:rPr>
                <w:rFonts w:eastAsia="黑体"/>
                <w:b/>
                <w:color w:val="FFFFFF"/>
                <w:sz w:val="17"/>
              </w:rPr>
              <w:t>回应覆盖率</w:t>
            </w:r>
          </w:p>
        </w:tc>
        <w:tc>
          <w:tcPr>
            <w:tcW w:w="2764" w:type="dxa"/>
            <w:shd w:val="clear" w:color="auto" w:fill="2C2C2C"/>
            <w:tcMar>
              <w:top w:w="90" w:type="dxa"/>
              <w:left w:w="100" w:type="dxa"/>
              <w:bottom w:w="90" w:type="dxa"/>
              <w:right w:w="100" w:type="dxa"/>
            </w:tcMar>
            <w:vAlign w:val="center"/>
          </w:tcPr>
          <w:p w14:paraId="75EF29A8">
            <w:pPr>
              <w:keepNext/>
              <w:spacing w:before="0" w:after="0" w:line="264" w:lineRule="auto"/>
              <w:ind w:firstLine="0"/>
              <w:jc w:val="center"/>
            </w:pPr>
            <w:r>
              <w:rPr>
                <w:rFonts w:eastAsia="黑体"/>
                <w:b/>
                <w:color w:val="FFFFFF"/>
                <w:sz w:val="17"/>
              </w:rPr>
              <w:t>标签构成比</w:t>
            </w:r>
          </w:p>
        </w:tc>
      </w:tr>
      <w:tr w14:paraId="732C44B3">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5F8109A7">
            <w:pPr>
              <w:spacing w:before="0" w:after="0" w:line="264" w:lineRule="auto"/>
              <w:ind w:firstLine="0"/>
              <w:jc w:val="center"/>
            </w:pPr>
            <w:r>
              <w:rPr>
                <w:sz w:val="17"/>
              </w:rPr>
              <w:t>导盲犬</w:t>
            </w:r>
          </w:p>
        </w:tc>
        <w:tc>
          <w:tcPr>
            <w:tcW w:w="1592" w:type="dxa"/>
            <w:shd w:val="clear" w:color="auto" w:fill="FFFFFF"/>
            <w:tcMar>
              <w:top w:w="90" w:type="dxa"/>
              <w:left w:w="100" w:type="dxa"/>
              <w:bottom w:w="90" w:type="dxa"/>
              <w:right w:w="100" w:type="dxa"/>
            </w:tcMar>
            <w:vAlign w:val="center"/>
          </w:tcPr>
          <w:p w14:paraId="745C2A99">
            <w:pPr>
              <w:spacing w:before="0" w:after="0" w:line="264" w:lineRule="auto"/>
              <w:ind w:firstLine="0"/>
              <w:jc w:val="center"/>
            </w:pPr>
            <w:r>
              <w:rPr>
                <w:sz w:val="17"/>
              </w:rPr>
              <w:t>宠物化理解</w:t>
            </w:r>
          </w:p>
        </w:tc>
        <w:tc>
          <w:tcPr>
            <w:tcW w:w="1150" w:type="dxa"/>
            <w:shd w:val="clear" w:color="auto" w:fill="FFFFFF"/>
            <w:tcMar>
              <w:top w:w="90" w:type="dxa"/>
              <w:left w:w="100" w:type="dxa"/>
              <w:bottom w:w="90" w:type="dxa"/>
              <w:right w:w="100" w:type="dxa"/>
            </w:tcMar>
            <w:vAlign w:val="center"/>
          </w:tcPr>
          <w:p w14:paraId="0EDB351C">
            <w:pPr>
              <w:spacing w:before="0" w:after="0" w:line="264" w:lineRule="auto"/>
              <w:ind w:firstLine="0"/>
              <w:jc w:val="center"/>
            </w:pPr>
            <w:r>
              <w:rPr>
                <w:sz w:val="17"/>
              </w:rPr>
              <w:t>364</w:t>
            </w:r>
          </w:p>
        </w:tc>
        <w:tc>
          <w:tcPr>
            <w:tcW w:w="1500" w:type="dxa"/>
            <w:shd w:val="clear" w:color="auto" w:fill="FFFFFF"/>
            <w:tcMar>
              <w:top w:w="90" w:type="dxa"/>
              <w:left w:w="100" w:type="dxa"/>
              <w:bottom w:w="90" w:type="dxa"/>
              <w:right w:w="100" w:type="dxa"/>
            </w:tcMar>
            <w:vAlign w:val="center"/>
          </w:tcPr>
          <w:p w14:paraId="0A911AAA">
            <w:pPr>
              <w:spacing w:before="0" w:after="0" w:line="264" w:lineRule="auto"/>
              <w:ind w:firstLine="0"/>
              <w:jc w:val="center"/>
            </w:pPr>
            <w:r>
              <w:rPr>
                <w:sz w:val="17"/>
              </w:rPr>
              <w:t>40.9%</w:t>
            </w:r>
          </w:p>
        </w:tc>
        <w:tc>
          <w:tcPr>
            <w:tcW w:w="2764" w:type="dxa"/>
            <w:shd w:val="clear" w:color="auto" w:fill="FFFFFF"/>
            <w:tcMar>
              <w:top w:w="90" w:type="dxa"/>
              <w:left w:w="100" w:type="dxa"/>
              <w:bottom w:w="90" w:type="dxa"/>
              <w:right w:w="100" w:type="dxa"/>
            </w:tcMar>
            <w:vAlign w:val="center"/>
          </w:tcPr>
          <w:p w14:paraId="7BB894AA">
            <w:pPr>
              <w:spacing w:before="0" w:after="0" w:line="264" w:lineRule="auto"/>
              <w:ind w:firstLine="0"/>
              <w:jc w:val="center"/>
            </w:pPr>
            <w:r>
              <w:rPr>
                <w:sz w:val="17"/>
              </w:rPr>
              <w:t>27.1%</w:t>
            </w:r>
          </w:p>
        </w:tc>
      </w:tr>
      <w:tr w14:paraId="2A9D9D7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AFAF8"/>
            <w:tcMar>
              <w:top w:w="90" w:type="dxa"/>
              <w:left w:w="100" w:type="dxa"/>
              <w:bottom w:w="90" w:type="dxa"/>
              <w:right w:w="100" w:type="dxa"/>
            </w:tcMar>
            <w:vAlign w:val="center"/>
          </w:tcPr>
          <w:p w14:paraId="04548C7B">
            <w:pPr>
              <w:spacing w:before="0" w:after="0" w:line="264" w:lineRule="auto"/>
              <w:ind w:firstLine="0"/>
              <w:jc w:val="center"/>
            </w:pPr>
            <w:r>
              <w:rPr>
                <w:sz w:val="17"/>
              </w:rPr>
              <w:t>导盲犬</w:t>
            </w:r>
          </w:p>
        </w:tc>
        <w:tc>
          <w:tcPr>
            <w:tcW w:w="1592" w:type="dxa"/>
            <w:shd w:val="clear" w:color="auto" w:fill="FAFAF8"/>
            <w:tcMar>
              <w:top w:w="90" w:type="dxa"/>
              <w:left w:w="100" w:type="dxa"/>
              <w:bottom w:w="90" w:type="dxa"/>
              <w:right w:w="100" w:type="dxa"/>
            </w:tcMar>
            <w:vAlign w:val="center"/>
          </w:tcPr>
          <w:p w14:paraId="3A9DEB21">
            <w:pPr>
              <w:spacing w:before="0" w:after="0" w:line="264" w:lineRule="auto"/>
              <w:ind w:firstLine="0"/>
              <w:jc w:val="center"/>
            </w:pPr>
            <w:r>
              <w:rPr>
                <w:sz w:val="17"/>
              </w:rPr>
              <w:t>卫生问题</w:t>
            </w:r>
          </w:p>
        </w:tc>
        <w:tc>
          <w:tcPr>
            <w:tcW w:w="1150" w:type="dxa"/>
            <w:shd w:val="clear" w:color="auto" w:fill="FAFAF8"/>
            <w:tcMar>
              <w:top w:w="90" w:type="dxa"/>
              <w:left w:w="100" w:type="dxa"/>
              <w:bottom w:w="90" w:type="dxa"/>
              <w:right w:w="100" w:type="dxa"/>
            </w:tcMar>
            <w:vAlign w:val="center"/>
          </w:tcPr>
          <w:p w14:paraId="57521D6A">
            <w:pPr>
              <w:spacing w:before="0" w:after="0" w:line="264" w:lineRule="auto"/>
              <w:ind w:firstLine="0"/>
              <w:jc w:val="center"/>
            </w:pPr>
            <w:r>
              <w:rPr>
                <w:sz w:val="17"/>
              </w:rPr>
              <w:t>175</w:t>
            </w:r>
          </w:p>
        </w:tc>
        <w:tc>
          <w:tcPr>
            <w:tcW w:w="1500" w:type="dxa"/>
            <w:shd w:val="clear" w:color="auto" w:fill="FAFAF8"/>
            <w:tcMar>
              <w:top w:w="90" w:type="dxa"/>
              <w:left w:w="100" w:type="dxa"/>
              <w:bottom w:w="90" w:type="dxa"/>
              <w:right w:w="100" w:type="dxa"/>
            </w:tcMar>
            <w:vAlign w:val="center"/>
          </w:tcPr>
          <w:p w14:paraId="043F4FD7">
            <w:pPr>
              <w:spacing w:before="0" w:after="0" w:line="264" w:lineRule="auto"/>
              <w:ind w:firstLine="0"/>
              <w:jc w:val="center"/>
            </w:pPr>
            <w:r>
              <w:rPr>
                <w:sz w:val="17"/>
              </w:rPr>
              <w:t>19.6%</w:t>
            </w:r>
          </w:p>
        </w:tc>
        <w:tc>
          <w:tcPr>
            <w:tcW w:w="2764" w:type="dxa"/>
            <w:shd w:val="clear" w:color="auto" w:fill="FAFAF8"/>
            <w:tcMar>
              <w:top w:w="90" w:type="dxa"/>
              <w:left w:w="100" w:type="dxa"/>
              <w:bottom w:w="90" w:type="dxa"/>
              <w:right w:w="100" w:type="dxa"/>
            </w:tcMar>
            <w:vAlign w:val="center"/>
          </w:tcPr>
          <w:p w14:paraId="0BE6A6E7">
            <w:pPr>
              <w:spacing w:before="0" w:after="0" w:line="264" w:lineRule="auto"/>
              <w:ind w:firstLine="0"/>
              <w:jc w:val="center"/>
            </w:pPr>
            <w:r>
              <w:rPr>
                <w:sz w:val="17"/>
              </w:rPr>
              <w:t>13.0%</w:t>
            </w:r>
          </w:p>
        </w:tc>
      </w:tr>
      <w:tr w14:paraId="3563754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7BADFAB9">
            <w:pPr>
              <w:spacing w:before="0" w:after="0" w:line="264" w:lineRule="auto"/>
              <w:ind w:firstLine="0"/>
              <w:jc w:val="center"/>
            </w:pPr>
            <w:r>
              <w:rPr>
                <w:sz w:val="17"/>
              </w:rPr>
              <w:t>导盲犬</w:t>
            </w:r>
          </w:p>
        </w:tc>
        <w:tc>
          <w:tcPr>
            <w:tcW w:w="1592" w:type="dxa"/>
            <w:shd w:val="clear" w:color="auto" w:fill="FFFFFF"/>
            <w:tcMar>
              <w:top w:w="90" w:type="dxa"/>
              <w:left w:w="100" w:type="dxa"/>
              <w:bottom w:w="90" w:type="dxa"/>
              <w:right w:w="100" w:type="dxa"/>
            </w:tcMar>
            <w:vAlign w:val="center"/>
          </w:tcPr>
          <w:p w14:paraId="5C788304">
            <w:pPr>
              <w:spacing w:before="0" w:after="0" w:line="264" w:lineRule="auto"/>
              <w:ind w:firstLine="0"/>
              <w:jc w:val="center"/>
            </w:pPr>
            <w:r>
              <w:rPr>
                <w:sz w:val="17"/>
              </w:rPr>
              <w:t>噪音问题</w:t>
            </w:r>
          </w:p>
        </w:tc>
        <w:tc>
          <w:tcPr>
            <w:tcW w:w="1150" w:type="dxa"/>
            <w:shd w:val="clear" w:color="auto" w:fill="FFFFFF"/>
            <w:tcMar>
              <w:top w:w="90" w:type="dxa"/>
              <w:left w:w="100" w:type="dxa"/>
              <w:bottom w:w="90" w:type="dxa"/>
              <w:right w:w="100" w:type="dxa"/>
            </w:tcMar>
            <w:vAlign w:val="center"/>
          </w:tcPr>
          <w:p w14:paraId="16471B61">
            <w:pPr>
              <w:spacing w:before="0" w:after="0" w:line="264" w:lineRule="auto"/>
              <w:ind w:firstLine="0"/>
              <w:jc w:val="center"/>
            </w:pPr>
            <w:r>
              <w:rPr>
                <w:sz w:val="17"/>
              </w:rPr>
              <w:t>171</w:t>
            </w:r>
          </w:p>
        </w:tc>
        <w:tc>
          <w:tcPr>
            <w:tcW w:w="1500" w:type="dxa"/>
            <w:shd w:val="clear" w:color="auto" w:fill="FFFFFF"/>
            <w:tcMar>
              <w:top w:w="90" w:type="dxa"/>
              <w:left w:w="100" w:type="dxa"/>
              <w:bottom w:w="90" w:type="dxa"/>
              <w:right w:w="100" w:type="dxa"/>
            </w:tcMar>
            <w:vAlign w:val="center"/>
          </w:tcPr>
          <w:p w14:paraId="40F2136F">
            <w:pPr>
              <w:spacing w:before="0" w:after="0" w:line="264" w:lineRule="auto"/>
              <w:ind w:firstLine="0"/>
              <w:jc w:val="center"/>
            </w:pPr>
            <w:r>
              <w:rPr>
                <w:sz w:val="17"/>
              </w:rPr>
              <w:t>19.2%</w:t>
            </w:r>
          </w:p>
        </w:tc>
        <w:tc>
          <w:tcPr>
            <w:tcW w:w="2764" w:type="dxa"/>
            <w:shd w:val="clear" w:color="auto" w:fill="FFFFFF"/>
            <w:tcMar>
              <w:top w:w="90" w:type="dxa"/>
              <w:left w:w="100" w:type="dxa"/>
              <w:bottom w:w="90" w:type="dxa"/>
              <w:right w:w="100" w:type="dxa"/>
            </w:tcMar>
            <w:vAlign w:val="center"/>
          </w:tcPr>
          <w:p w14:paraId="21E04FD5">
            <w:pPr>
              <w:spacing w:before="0" w:after="0" w:line="264" w:lineRule="auto"/>
              <w:ind w:firstLine="0"/>
              <w:jc w:val="center"/>
            </w:pPr>
            <w:r>
              <w:rPr>
                <w:sz w:val="17"/>
              </w:rPr>
              <w:t>12.7%</w:t>
            </w:r>
          </w:p>
        </w:tc>
      </w:tr>
      <w:tr w14:paraId="0925FFB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AFAF8"/>
            <w:tcMar>
              <w:top w:w="90" w:type="dxa"/>
              <w:left w:w="100" w:type="dxa"/>
              <w:bottom w:w="90" w:type="dxa"/>
              <w:right w:w="100" w:type="dxa"/>
            </w:tcMar>
            <w:vAlign w:val="center"/>
          </w:tcPr>
          <w:p w14:paraId="4397B30F">
            <w:pPr>
              <w:spacing w:before="0" w:after="0" w:line="264" w:lineRule="auto"/>
              <w:ind w:firstLine="0"/>
              <w:jc w:val="center"/>
            </w:pPr>
            <w:r>
              <w:rPr>
                <w:sz w:val="17"/>
              </w:rPr>
              <w:t>导盲犬</w:t>
            </w:r>
          </w:p>
        </w:tc>
        <w:tc>
          <w:tcPr>
            <w:tcW w:w="1592" w:type="dxa"/>
            <w:shd w:val="clear" w:color="auto" w:fill="FAFAF8"/>
            <w:tcMar>
              <w:top w:w="90" w:type="dxa"/>
              <w:left w:w="100" w:type="dxa"/>
              <w:bottom w:w="90" w:type="dxa"/>
              <w:right w:w="100" w:type="dxa"/>
            </w:tcMar>
            <w:vAlign w:val="center"/>
          </w:tcPr>
          <w:p w14:paraId="2DBD271C">
            <w:pPr>
              <w:spacing w:before="0" w:after="0" w:line="264" w:lineRule="auto"/>
              <w:ind w:firstLine="0"/>
              <w:jc w:val="center"/>
            </w:pPr>
            <w:r>
              <w:rPr>
                <w:sz w:val="17"/>
              </w:rPr>
              <w:t>客诉压力</w:t>
            </w:r>
          </w:p>
        </w:tc>
        <w:tc>
          <w:tcPr>
            <w:tcW w:w="1150" w:type="dxa"/>
            <w:shd w:val="clear" w:color="auto" w:fill="FAFAF8"/>
            <w:tcMar>
              <w:top w:w="90" w:type="dxa"/>
              <w:left w:w="100" w:type="dxa"/>
              <w:bottom w:w="90" w:type="dxa"/>
              <w:right w:w="100" w:type="dxa"/>
            </w:tcMar>
            <w:vAlign w:val="center"/>
          </w:tcPr>
          <w:p w14:paraId="4C921CC9">
            <w:pPr>
              <w:spacing w:before="0" w:after="0" w:line="264" w:lineRule="auto"/>
              <w:ind w:firstLine="0"/>
              <w:jc w:val="center"/>
            </w:pPr>
            <w:r>
              <w:rPr>
                <w:sz w:val="17"/>
              </w:rPr>
              <w:t>161</w:t>
            </w:r>
          </w:p>
        </w:tc>
        <w:tc>
          <w:tcPr>
            <w:tcW w:w="1500" w:type="dxa"/>
            <w:shd w:val="clear" w:color="auto" w:fill="FAFAF8"/>
            <w:tcMar>
              <w:top w:w="90" w:type="dxa"/>
              <w:left w:w="100" w:type="dxa"/>
              <w:bottom w:w="90" w:type="dxa"/>
              <w:right w:w="100" w:type="dxa"/>
            </w:tcMar>
            <w:vAlign w:val="center"/>
          </w:tcPr>
          <w:p w14:paraId="1C672D07">
            <w:pPr>
              <w:spacing w:before="0" w:after="0" w:line="264" w:lineRule="auto"/>
              <w:ind w:firstLine="0"/>
              <w:jc w:val="center"/>
            </w:pPr>
            <w:r>
              <w:rPr>
                <w:sz w:val="17"/>
              </w:rPr>
              <w:t>18.1%</w:t>
            </w:r>
          </w:p>
        </w:tc>
        <w:tc>
          <w:tcPr>
            <w:tcW w:w="2764" w:type="dxa"/>
            <w:shd w:val="clear" w:color="auto" w:fill="FAFAF8"/>
            <w:tcMar>
              <w:top w:w="90" w:type="dxa"/>
              <w:left w:w="100" w:type="dxa"/>
              <w:bottom w:w="90" w:type="dxa"/>
              <w:right w:w="100" w:type="dxa"/>
            </w:tcMar>
            <w:vAlign w:val="center"/>
          </w:tcPr>
          <w:p w14:paraId="3D372F7F">
            <w:pPr>
              <w:spacing w:before="0" w:after="0" w:line="264" w:lineRule="auto"/>
              <w:ind w:firstLine="0"/>
              <w:jc w:val="center"/>
            </w:pPr>
            <w:r>
              <w:rPr>
                <w:sz w:val="17"/>
              </w:rPr>
              <w:t>12.0%</w:t>
            </w:r>
          </w:p>
        </w:tc>
      </w:tr>
      <w:tr w14:paraId="260C6AC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11CEFA00">
            <w:pPr>
              <w:spacing w:before="0" w:after="0" w:line="264" w:lineRule="auto"/>
              <w:ind w:firstLine="0"/>
              <w:jc w:val="center"/>
            </w:pPr>
            <w:r>
              <w:rPr>
                <w:sz w:val="17"/>
              </w:rPr>
              <w:t>导盲犬</w:t>
            </w:r>
          </w:p>
        </w:tc>
        <w:tc>
          <w:tcPr>
            <w:tcW w:w="1592" w:type="dxa"/>
            <w:shd w:val="clear" w:color="auto" w:fill="FFFFFF"/>
            <w:tcMar>
              <w:top w:w="90" w:type="dxa"/>
              <w:left w:w="100" w:type="dxa"/>
              <w:bottom w:w="90" w:type="dxa"/>
              <w:right w:w="100" w:type="dxa"/>
            </w:tcMar>
            <w:vAlign w:val="center"/>
          </w:tcPr>
          <w:p w14:paraId="4C599D87">
            <w:pPr>
              <w:spacing w:before="0" w:after="0" w:line="264" w:lineRule="auto"/>
              <w:ind w:firstLine="0"/>
              <w:jc w:val="center"/>
            </w:pPr>
            <w:r>
              <w:rPr>
                <w:sz w:val="17"/>
              </w:rPr>
              <w:t>财产损耗</w:t>
            </w:r>
          </w:p>
        </w:tc>
        <w:tc>
          <w:tcPr>
            <w:tcW w:w="1150" w:type="dxa"/>
            <w:shd w:val="clear" w:color="auto" w:fill="FFFFFF"/>
            <w:tcMar>
              <w:top w:w="90" w:type="dxa"/>
              <w:left w:w="100" w:type="dxa"/>
              <w:bottom w:w="90" w:type="dxa"/>
              <w:right w:w="100" w:type="dxa"/>
            </w:tcMar>
            <w:vAlign w:val="center"/>
          </w:tcPr>
          <w:p w14:paraId="24FD217B">
            <w:pPr>
              <w:spacing w:before="0" w:after="0" w:line="264" w:lineRule="auto"/>
              <w:ind w:firstLine="0"/>
              <w:jc w:val="center"/>
            </w:pPr>
            <w:r>
              <w:rPr>
                <w:sz w:val="17"/>
              </w:rPr>
              <w:t>114</w:t>
            </w:r>
          </w:p>
        </w:tc>
        <w:tc>
          <w:tcPr>
            <w:tcW w:w="1500" w:type="dxa"/>
            <w:shd w:val="clear" w:color="auto" w:fill="FFFFFF"/>
            <w:tcMar>
              <w:top w:w="90" w:type="dxa"/>
              <w:left w:w="100" w:type="dxa"/>
              <w:bottom w:w="90" w:type="dxa"/>
              <w:right w:w="100" w:type="dxa"/>
            </w:tcMar>
            <w:vAlign w:val="center"/>
          </w:tcPr>
          <w:p w14:paraId="1DFA3291">
            <w:pPr>
              <w:spacing w:before="0" w:after="0" w:line="264" w:lineRule="auto"/>
              <w:ind w:firstLine="0"/>
              <w:jc w:val="center"/>
            </w:pPr>
            <w:r>
              <w:rPr>
                <w:sz w:val="17"/>
              </w:rPr>
              <w:t>12.8%</w:t>
            </w:r>
          </w:p>
        </w:tc>
        <w:tc>
          <w:tcPr>
            <w:tcW w:w="2764" w:type="dxa"/>
            <w:shd w:val="clear" w:color="auto" w:fill="FFFFFF"/>
            <w:tcMar>
              <w:top w:w="90" w:type="dxa"/>
              <w:left w:w="100" w:type="dxa"/>
              <w:bottom w:w="90" w:type="dxa"/>
              <w:right w:w="100" w:type="dxa"/>
            </w:tcMar>
            <w:vAlign w:val="center"/>
          </w:tcPr>
          <w:p w14:paraId="2272B813">
            <w:pPr>
              <w:spacing w:before="0" w:after="0" w:line="264" w:lineRule="auto"/>
              <w:ind w:firstLine="0"/>
              <w:jc w:val="center"/>
            </w:pPr>
            <w:r>
              <w:rPr>
                <w:sz w:val="17"/>
              </w:rPr>
              <w:t>8.5%</w:t>
            </w:r>
          </w:p>
        </w:tc>
      </w:tr>
      <w:tr w14:paraId="44E072D9">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AFAF8"/>
            <w:tcMar>
              <w:top w:w="90" w:type="dxa"/>
              <w:left w:w="100" w:type="dxa"/>
              <w:bottom w:w="90" w:type="dxa"/>
              <w:right w:w="100" w:type="dxa"/>
            </w:tcMar>
            <w:vAlign w:val="center"/>
          </w:tcPr>
          <w:p w14:paraId="456803EB">
            <w:pPr>
              <w:spacing w:before="0" w:after="0" w:line="264" w:lineRule="auto"/>
              <w:ind w:firstLine="0"/>
              <w:jc w:val="center"/>
            </w:pPr>
            <w:r>
              <w:rPr>
                <w:sz w:val="17"/>
              </w:rPr>
              <w:t>导盲犬</w:t>
            </w:r>
          </w:p>
        </w:tc>
        <w:tc>
          <w:tcPr>
            <w:tcW w:w="1592" w:type="dxa"/>
            <w:shd w:val="clear" w:color="auto" w:fill="FAFAF8"/>
            <w:tcMar>
              <w:top w:w="90" w:type="dxa"/>
              <w:left w:w="100" w:type="dxa"/>
              <w:bottom w:w="90" w:type="dxa"/>
              <w:right w:w="100" w:type="dxa"/>
            </w:tcMar>
            <w:vAlign w:val="center"/>
          </w:tcPr>
          <w:p w14:paraId="426B22BE">
            <w:pPr>
              <w:spacing w:before="0" w:after="0" w:line="264" w:lineRule="auto"/>
              <w:ind w:firstLine="0"/>
              <w:jc w:val="center"/>
            </w:pPr>
            <w:r>
              <w:rPr>
                <w:sz w:val="17"/>
              </w:rPr>
              <w:t>安全问题</w:t>
            </w:r>
          </w:p>
        </w:tc>
        <w:tc>
          <w:tcPr>
            <w:tcW w:w="1150" w:type="dxa"/>
            <w:shd w:val="clear" w:color="auto" w:fill="FAFAF8"/>
            <w:tcMar>
              <w:top w:w="90" w:type="dxa"/>
              <w:left w:w="100" w:type="dxa"/>
              <w:bottom w:w="90" w:type="dxa"/>
              <w:right w:w="100" w:type="dxa"/>
            </w:tcMar>
            <w:vAlign w:val="center"/>
          </w:tcPr>
          <w:p w14:paraId="23209ABB">
            <w:pPr>
              <w:spacing w:before="0" w:after="0" w:line="264" w:lineRule="auto"/>
              <w:ind w:firstLine="0"/>
              <w:jc w:val="center"/>
            </w:pPr>
            <w:r>
              <w:rPr>
                <w:sz w:val="17"/>
              </w:rPr>
              <w:t>106</w:t>
            </w:r>
          </w:p>
        </w:tc>
        <w:tc>
          <w:tcPr>
            <w:tcW w:w="1500" w:type="dxa"/>
            <w:shd w:val="clear" w:color="auto" w:fill="FAFAF8"/>
            <w:tcMar>
              <w:top w:w="90" w:type="dxa"/>
              <w:left w:w="100" w:type="dxa"/>
              <w:bottom w:w="90" w:type="dxa"/>
              <w:right w:w="100" w:type="dxa"/>
            </w:tcMar>
            <w:vAlign w:val="center"/>
          </w:tcPr>
          <w:p w14:paraId="34DCCB41">
            <w:pPr>
              <w:spacing w:before="0" w:after="0" w:line="264" w:lineRule="auto"/>
              <w:ind w:firstLine="0"/>
              <w:jc w:val="center"/>
            </w:pPr>
            <w:r>
              <w:rPr>
                <w:sz w:val="17"/>
              </w:rPr>
              <w:t>11.9%</w:t>
            </w:r>
          </w:p>
        </w:tc>
        <w:tc>
          <w:tcPr>
            <w:tcW w:w="2764" w:type="dxa"/>
            <w:shd w:val="clear" w:color="auto" w:fill="FAFAF8"/>
            <w:tcMar>
              <w:top w:w="90" w:type="dxa"/>
              <w:left w:w="100" w:type="dxa"/>
              <w:bottom w:w="90" w:type="dxa"/>
              <w:right w:w="100" w:type="dxa"/>
            </w:tcMar>
            <w:vAlign w:val="center"/>
          </w:tcPr>
          <w:p w14:paraId="156E55DB">
            <w:pPr>
              <w:spacing w:before="0" w:after="0" w:line="264" w:lineRule="auto"/>
              <w:ind w:firstLine="0"/>
              <w:jc w:val="center"/>
            </w:pPr>
            <w:r>
              <w:rPr>
                <w:sz w:val="17"/>
              </w:rPr>
              <w:t>7.9%</w:t>
            </w:r>
          </w:p>
        </w:tc>
      </w:tr>
      <w:tr w14:paraId="1E2DA98A">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71A2C2D3">
            <w:pPr>
              <w:spacing w:before="0" w:after="0" w:line="264" w:lineRule="auto"/>
              <w:ind w:firstLine="0"/>
              <w:jc w:val="center"/>
            </w:pPr>
            <w:r>
              <w:rPr>
                <w:sz w:val="17"/>
              </w:rPr>
              <w:t>导盲犬</w:t>
            </w:r>
          </w:p>
        </w:tc>
        <w:tc>
          <w:tcPr>
            <w:tcW w:w="1592" w:type="dxa"/>
            <w:shd w:val="clear" w:color="auto" w:fill="FFFFFF"/>
            <w:tcMar>
              <w:top w:w="90" w:type="dxa"/>
              <w:left w:w="100" w:type="dxa"/>
              <w:bottom w:w="90" w:type="dxa"/>
              <w:right w:w="100" w:type="dxa"/>
            </w:tcMar>
            <w:vAlign w:val="center"/>
          </w:tcPr>
          <w:p w14:paraId="0C190A3F">
            <w:pPr>
              <w:spacing w:before="0" w:after="0" w:line="264" w:lineRule="auto"/>
              <w:ind w:firstLine="0"/>
              <w:jc w:val="center"/>
            </w:pPr>
            <w:r>
              <w:rPr>
                <w:sz w:val="17"/>
              </w:rPr>
              <w:t>空间不适配</w:t>
            </w:r>
          </w:p>
        </w:tc>
        <w:tc>
          <w:tcPr>
            <w:tcW w:w="1150" w:type="dxa"/>
            <w:shd w:val="clear" w:color="auto" w:fill="FFFFFF"/>
            <w:tcMar>
              <w:top w:w="90" w:type="dxa"/>
              <w:left w:w="100" w:type="dxa"/>
              <w:bottom w:w="90" w:type="dxa"/>
              <w:right w:w="100" w:type="dxa"/>
            </w:tcMar>
            <w:vAlign w:val="center"/>
          </w:tcPr>
          <w:p w14:paraId="37AAD473">
            <w:pPr>
              <w:spacing w:before="0" w:after="0" w:line="264" w:lineRule="auto"/>
              <w:ind w:firstLine="0"/>
              <w:jc w:val="center"/>
            </w:pPr>
            <w:r>
              <w:rPr>
                <w:sz w:val="17"/>
              </w:rPr>
              <w:t>45</w:t>
            </w:r>
          </w:p>
        </w:tc>
        <w:tc>
          <w:tcPr>
            <w:tcW w:w="1500" w:type="dxa"/>
            <w:shd w:val="clear" w:color="auto" w:fill="FFFFFF"/>
            <w:tcMar>
              <w:top w:w="90" w:type="dxa"/>
              <w:left w:w="100" w:type="dxa"/>
              <w:bottom w:w="90" w:type="dxa"/>
              <w:right w:w="100" w:type="dxa"/>
            </w:tcMar>
            <w:vAlign w:val="center"/>
          </w:tcPr>
          <w:p w14:paraId="2FA51725">
            <w:pPr>
              <w:spacing w:before="0" w:after="0" w:line="264" w:lineRule="auto"/>
              <w:ind w:firstLine="0"/>
              <w:jc w:val="center"/>
            </w:pPr>
            <w:r>
              <w:rPr>
                <w:sz w:val="17"/>
              </w:rPr>
              <w:t>5.1%</w:t>
            </w:r>
          </w:p>
        </w:tc>
        <w:tc>
          <w:tcPr>
            <w:tcW w:w="2764" w:type="dxa"/>
            <w:shd w:val="clear" w:color="auto" w:fill="FFFFFF"/>
            <w:tcMar>
              <w:top w:w="90" w:type="dxa"/>
              <w:left w:w="100" w:type="dxa"/>
              <w:bottom w:w="90" w:type="dxa"/>
              <w:right w:w="100" w:type="dxa"/>
            </w:tcMar>
            <w:vAlign w:val="center"/>
          </w:tcPr>
          <w:p w14:paraId="6B75B856">
            <w:pPr>
              <w:spacing w:before="0" w:after="0" w:line="264" w:lineRule="auto"/>
              <w:ind w:firstLine="0"/>
              <w:jc w:val="center"/>
            </w:pPr>
            <w:r>
              <w:rPr>
                <w:sz w:val="17"/>
              </w:rPr>
              <w:t>3.3%</w:t>
            </w:r>
          </w:p>
        </w:tc>
      </w:tr>
      <w:tr w14:paraId="06B7FB5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AFAF8"/>
            <w:tcMar>
              <w:top w:w="90" w:type="dxa"/>
              <w:left w:w="100" w:type="dxa"/>
              <w:bottom w:w="90" w:type="dxa"/>
              <w:right w:w="100" w:type="dxa"/>
            </w:tcMar>
            <w:vAlign w:val="center"/>
          </w:tcPr>
          <w:p w14:paraId="58CDD4FE">
            <w:pPr>
              <w:spacing w:before="0" w:after="0" w:line="264" w:lineRule="auto"/>
              <w:ind w:firstLine="0"/>
              <w:jc w:val="center"/>
            </w:pPr>
            <w:r>
              <w:rPr>
                <w:sz w:val="17"/>
              </w:rPr>
              <w:t>视障者</w:t>
            </w:r>
          </w:p>
        </w:tc>
        <w:tc>
          <w:tcPr>
            <w:tcW w:w="1592" w:type="dxa"/>
            <w:shd w:val="clear" w:color="auto" w:fill="FAFAF8"/>
            <w:tcMar>
              <w:top w:w="90" w:type="dxa"/>
              <w:left w:w="100" w:type="dxa"/>
              <w:bottom w:w="90" w:type="dxa"/>
              <w:right w:w="100" w:type="dxa"/>
            </w:tcMar>
            <w:vAlign w:val="center"/>
          </w:tcPr>
          <w:p w14:paraId="6B710783">
            <w:pPr>
              <w:spacing w:before="0" w:after="0" w:line="264" w:lineRule="auto"/>
              <w:ind w:firstLine="0"/>
              <w:jc w:val="center"/>
            </w:pPr>
            <w:r>
              <w:rPr>
                <w:sz w:val="17"/>
              </w:rPr>
              <w:t>独立入住能力存疑</w:t>
            </w:r>
          </w:p>
        </w:tc>
        <w:tc>
          <w:tcPr>
            <w:tcW w:w="1150" w:type="dxa"/>
            <w:shd w:val="clear" w:color="auto" w:fill="FAFAF8"/>
            <w:tcMar>
              <w:top w:w="90" w:type="dxa"/>
              <w:left w:w="100" w:type="dxa"/>
              <w:bottom w:w="90" w:type="dxa"/>
              <w:right w:w="100" w:type="dxa"/>
            </w:tcMar>
            <w:vAlign w:val="center"/>
          </w:tcPr>
          <w:p w14:paraId="6A3A145D">
            <w:pPr>
              <w:spacing w:before="0" w:after="0" w:line="264" w:lineRule="auto"/>
              <w:ind w:firstLine="0"/>
              <w:jc w:val="center"/>
            </w:pPr>
            <w:r>
              <w:rPr>
                <w:sz w:val="17"/>
              </w:rPr>
              <w:t>183</w:t>
            </w:r>
          </w:p>
        </w:tc>
        <w:tc>
          <w:tcPr>
            <w:tcW w:w="1500" w:type="dxa"/>
            <w:shd w:val="clear" w:color="auto" w:fill="FAFAF8"/>
            <w:tcMar>
              <w:top w:w="90" w:type="dxa"/>
              <w:left w:w="100" w:type="dxa"/>
              <w:bottom w:w="90" w:type="dxa"/>
              <w:right w:w="100" w:type="dxa"/>
            </w:tcMar>
            <w:vAlign w:val="center"/>
          </w:tcPr>
          <w:p w14:paraId="512C23A7">
            <w:pPr>
              <w:spacing w:before="0" w:after="0" w:line="264" w:lineRule="auto"/>
              <w:ind w:firstLine="0"/>
              <w:jc w:val="center"/>
            </w:pPr>
            <w:r>
              <w:rPr>
                <w:sz w:val="17"/>
              </w:rPr>
              <w:t>20.5%</w:t>
            </w:r>
          </w:p>
        </w:tc>
        <w:tc>
          <w:tcPr>
            <w:tcW w:w="2764" w:type="dxa"/>
            <w:shd w:val="clear" w:color="auto" w:fill="FAFAF8"/>
            <w:tcMar>
              <w:top w:w="90" w:type="dxa"/>
              <w:left w:w="100" w:type="dxa"/>
              <w:bottom w:w="90" w:type="dxa"/>
              <w:right w:w="100" w:type="dxa"/>
            </w:tcMar>
            <w:vAlign w:val="center"/>
          </w:tcPr>
          <w:p w14:paraId="25609EC7">
            <w:pPr>
              <w:spacing w:before="0" w:after="0" w:line="264" w:lineRule="auto"/>
              <w:ind w:firstLine="0"/>
              <w:jc w:val="center"/>
            </w:pPr>
            <w:r>
              <w:rPr>
                <w:sz w:val="17"/>
              </w:rPr>
              <w:t>13.6%</w:t>
            </w:r>
          </w:p>
        </w:tc>
      </w:tr>
      <w:tr w14:paraId="3D8E3E9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5B329B56">
            <w:pPr>
              <w:spacing w:before="0" w:after="0" w:line="264" w:lineRule="auto"/>
              <w:ind w:firstLine="0"/>
              <w:jc w:val="center"/>
            </w:pPr>
            <w:r>
              <w:rPr>
                <w:sz w:val="17"/>
              </w:rPr>
              <w:t>视障者</w:t>
            </w:r>
          </w:p>
        </w:tc>
        <w:tc>
          <w:tcPr>
            <w:tcW w:w="1592" w:type="dxa"/>
            <w:shd w:val="clear" w:color="auto" w:fill="FFFFFF"/>
            <w:tcMar>
              <w:top w:w="90" w:type="dxa"/>
              <w:left w:w="100" w:type="dxa"/>
              <w:bottom w:w="90" w:type="dxa"/>
              <w:right w:w="100" w:type="dxa"/>
            </w:tcMar>
            <w:vAlign w:val="center"/>
          </w:tcPr>
          <w:p w14:paraId="3F7E24CF">
            <w:pPr>
              <w:spacing w:before="0" w:after="0" w:line="264" w:lineRule="auto"/>
              <w:ind w:firstLine="0"/>
              <w:jc w:val="center"/>
            </w:pPr>
            <w:r>
              <w:rPr>
                <w:sz w:val="17"/>
              </w:rPr>
              <w:t>管理导盲犬能力存疑</w:t>
            </w:r>
          </w:p>
        </w:tc>
        <w:tc>
          <w:tcPr>
            <w:tcW w:w="1150" w:type="dxa"/>
            <w:shd w:val="clear" w:color="auto" w:fill="FFFFFF"/>
            <w:tcMar>
              <w:top w:w="90" w:type="dxa"/>
              <w:left w:w="100" w:type="dxa"/>
              <w:bottom w:w="90" w:type="dxa"/>
              <w:right w:w="100" w:type="dxa"/>
            </w:tcMar>
            <w:vAlign w:val="center"/>
          </w:tcPr>
          <w:p w14:paraId="6556E89F">
            <w:pPr>
              <w:spacing w:before="0" w:after="0" w:line="264" w:lineRule="auto"/>
              <w:ind w:firstLine="0"/>
              <w:jc w:val="center"/>
            </w:pPr>
            <w:r>
              <w:rPr>
                <w:sz w:val="17"/>
              </w:rPr>
              <w:t>25</w:t>
            </w:r>
          </w:p>
        </w:tc>
        <w:tc>
          <w:tcPr>
            <w:tcW w:w="1500" w:type="dxa"/>
            <w:shd w:val="clear" w:color="auto" w:fill="FFFFFF"/>
            <w:tcMar>
              <w:top w:w="90" w:type="dxa"/>
              <w:left w:w="100" w:type="dxa"/>
              <w:bottom w:w="90" w:type="dxa"/>
              <w:right w:w="100" w:type="dxa"/>
            </w:tcMar>
            <w:vAlign w:val="center"/>
          </w:tcPr>
          <w:p w14:paraId="52270A48">
            <w:pPr>
              <w:spacing w:before="0" w:after="0" w:line="264" w:lineRule="auto"/>
              <w:ind w:firstLine="0"/>
              <w:jc w:val="center"/>
            </w:pPr>
            <w:r>
              <w:rPr>
                <w:sz w:val="17"/>
              </w:rPr>
              <w:t>2.8%</w:t>
            </w:r>
          </w:p>
        </w:tc>
        <w:tc>
          <w:tcPr>
            <w:tcW w:w="2764" w:type="dxa"/>
            <w:shd w:val="clear" w:color="auto" w:fill="FFFFFF"/>
            <w:tcMar>
              <w:top w:w="90" w:type="dxa"/>
              <w:left w:w="100" w:type="dxa"/>
              <w:bottom w:w="90" w:type="dxa"/>
              <w:right w:w="100" w:type="dxa"/>
            </w:tcMar>
            <w:vAlign w:val="center"/>
          </w:tcPr>
          <w:p w14:paraId="3EC242EC">
            <w:pPr>
              <w:spacing w:before="0" w:after="0" w:line="264" w:lineRule="auto"/>
              <w:ind w:firstLine="0"/>
              <w:jc w:val="center"/>
            </w:pPr>
            <w:r>
              <w:rPr>
                <w:sz w:val="17"/>
              </w:rPr>
              <w:t>1.9%</w:t>
            </w:r>
          </w:p>
        </w:tc>
      </w:tr>
    </w:tbl>
    <w:p w14:paraId="3768056B">
      <w:pPr>
        <w:pStyle w:val="175"/>
      </w:pPr>
      <w:r>
        <w:t>注：频次为各标签的出现次数，标签既包括最终拒绝门店的拒绝理由，也包括最终同意接待的门店提出的顾虑。回应覆盖率＝标签频次÷891条可编码回应记录；标签构成比＝标签频次÷1344次标签出现总数。891条回应记录与782次独立通话、558家门店是不同的统计单位，“回应记录”的定义和转写覆盖范围见附录二（七）。</w:t>
      </w:r>
    </w:p>
    <w:p w14:paraId="1504CF93">
      <w:pPr>
        <w:pStyle w:val="5"/>
      </w:pPr>
      <w:r>
        <w:t>（一）把导盲犬归入普通宠物</w:t>
      </w:r>
    </w:p>
    <w:p w14:paraId="7067F1CE">
      <w:pPr>
        <w:rPr>
          <w:rFonts w:hint="eastAsia"/>
        </w:rPr>
      </w:pPr>
      <w:r>
        <w:rPr>
          <w:rFonts w:hint="eastAsia"/>
        </w:rPr>
        <w:t>将导盲犬等同于普通宠物，是本次已编码回应中出现最多的理由，共出现364次，回应覆盖率达40.9%，占全部顾虑标签的27.1%。在实际通话中，有的前台一听到“犬”就拒绝，直接回答“酒店不让宠物入住”或“我们这就不允许带宠物”；面对咨询者对工作犬的说明，甚至反问“导盲犬不也是动物吗？那它是不是狗啊？”</w:t>
      </w:r>
    </w:p>
    <w:p w14:paraId="350BBA41">
      <w:pPr>
        <w:rPr>
          <w:rFonts w:hint="eastAsia"/>
        </w:rPr>
      </w:pPr>
      <w:r>
        <w:rPr>
          <w:rFonts w:hint="eastAsia"/>
        </w:rPr>
        <w:t>把导盲犬当作宠物，也会影响门店对收费的答复。在合肥7天火车站地铁站店（案例S01）的沟通中，咨询者明确说明需携带导盲犬入住，前台起初直接套用普通宠物规则提出收取押金。咨询者说明导盲犬的工作属性后，又询问是否仍需押金、金额多少及有无其他要求；前台答复押金为200元。这笔押金是否因携带导盲犬而额外收取、如何退还，通话中没有说清。</w:t>
      </w:r>
    </w:p>
    <w:p w14:paraId="01E20124">
      <w:pPr>
        <w:rPr>
          <w:rFonts w:hint="eastAsia"/>
        </w:rPr>
      </w:pPr>
      <w:r>
        <w:rPr>
          <w:rFonts w:hint="eastAsia"/>
        </w:rPr>
        <w:t>卫生、噪音和客诉压力的回应覆盖率分别为19.6%、19.2%和18.1%。门店会担心掉毛、异味、排泄和夜间叫声，也担心其他住客投诉或给差评。录音中，有门店直接表示“怕在房间里面拉”，也有前台直言“就怕影响到别的客人”，或提及此前曾因动物进入遭遇其他客人投诉并“产生过差评”。</w:t>
      </w:r>
    </w:p>
    <w:p w14:paraId="29C463CE">
      <w:pPr>
        <w:rPr>
          <w:rFonts w:hint="eastAsia"/>
        </w:rPr>
      </w:pPr>
      <w:r>
        <w:rPr>
          <w:rFonts w:hint="eastAsia"/>
        </w:rPr>
        <w:t xml:space="preserve">财产损耗和安全问题的回应覆盖率分别为12.8%和11.9%。在部分案例中，这类担忧与门店提出的附</w:t>
      </w:r>
      <w:r>
        <w:rPr>
          <w:rFonts w:hint="eastAsia"/>
        </w:rPr>
        <w:t xml:space="preserve">带</w:t>
      </w:r>
      <w:r>
        <w:rPr>
          <w:rFonts w:hint="eastAsia"/>
        </w:rPr>
        <w:t xml:space="preserve">条件同时出现，例如额外押金、清洁费、佩戴嘴套或不得进入部分公共区域。在安全方面，还有门店询问“不会叫吧，不会咬人吧”，提出“可以给它加一个嘴套”，或要求“不能上床”。</w:t>
      </w:r>
    </w:p>
    <w:p w14:paraId="2103BE43">
      <w:r>
        <w:rPr>
          <w:rFonts w:hint="eastAsia"/>
        </w:rPr>
        <w:t xml:space="preserve">此外，“空间不适配”这一理由的回应覆盖率为5.1%。</w:t>
      </w:r>
      <w:r>
        <w:rPr>
          <w:rFonts w:hint="eastAsia"/>
        </w:rPr>
        <w:t xml:space="preserve">这类理由主要有两种</w:t>
      </w:r>
      <w:r>
        <w:rPr>
          <w:rFonts w:hint="eastAsia"/>
        </w:rPr>
        <w:t xml:space="preserve">：一类门店把导盲犬理解为需要寄存或单独安置的动物，因而以“没有地方放”“不能放房间”为由推脱；</w:t>
      </w:r>
      <w:r>
        <w:rPr>
          <w:rFonts w:hint="eastAsia"/>
        </w:rPr>
        <w:t>另一类门店认为携犬入住需要专门的空间和额外人手，并以此拒绝接待。</w:t>
      </w:r>
    </w:p>
    <w:p w14:paraId="5C8F4F10">
      <w:pPr>
        <w:pStyle w:val="5"/>
      </w:pPr>
      <w:r>
        <w:t>（二）对视障者独立入住能力的误判</w:t>
      </w:r>
    </w:p>
    <w:p w14:paraId="405F4E7A">
      <w:pPr>
        <w:rPr>
          <w:rFonts w:hint="eastAsia"/>
        </w:rPr>
      </w:pPr>
      <w:r>
        <w:rPr>
          <w:rFonts w:hint="eastAsia"/>
        </w:rPr>
        <w:t xml:space="preserve">除对犬只本身的顾虑外，针对视障者本人的顾虑在全部标签中合计占15.5%。其中，“独立入住能力存疑”共出现183次，回应覆盖率达20.5%，占全部标签的13.6%，频次仅次于将导盲犬宠物化。在实际沟通中，部分门店反复核实是否有视力正常的人陪同，主观推定视障者无法独立完成登记、难以在陌生空间安全起居，甚至怀疑其缺乏管控导盲犬的能力。</w:t>
      </w:r>
      <w:r>
        <w:rPr>
          <w:rFonts w:hint="eastAsia"/>
        </w:rPr>
        <w:t xml:space="preserve">例如，有前台问：</w:t>
      </w:r>
      <w:r>
        <w:rPr>
          <w:rFonts w:hint="eastAsia"/>
        </w:rPr>
        <w:t xml:space="preserve">“</w:t>
      </w:r>
      <w:r>
        <w:rPr>
          <w:rFonts w:hint="eastAsia"/>
        </w:rPr>
        <w:t xml:space="preserve">请问您有陪同的人一起吗？”</w:t>
      </w:r>
      <w:r>
        <w:rPr>
          <w:rFonts w:hint="eastAsia"/>
        </w:rPr>
        <w:t xml:space="preserve">也有前台说：</w:t>
      </w:r>
      <w:r>
        <w:rPr>
          <w:rFonts w:hint="eastAsia"/>
        </w:rPr>
        <w:t xml:space="preserve">“我们台阶比较多，怕你一个人不方便。”</w:t>
      </w:r>
    </w:p>
    <w:p w14:paraId="71738B72">
      <w:pPr>
        <w:rPr>
          <w:rFonts w:hint="eastAsia"/>
        </w:rPr>
      </w:pPr>
      <w:r>
        <w:rPr>
          <w:rFonts w:hint="eastAsia"/>
        </w:rPr>
        <w:t>团队成员和社群伙伴的经验是，许多导盲犬使用者自己完成出行和入住；到了陌生环境，常常需要的是清楚的环境信息，如前台到电梯的方向、房内开关和设施的位置，或按本人意愿提供的引导。这些都属于正常接待，住客不必先证明自己能独立完成每个环节。</w:t>
      </w:r>
    </w:p>
    <w:p w14:paraId="52E18D3A">
      <w:pPr>
        <w:rPr>
          <w:rFonts w:hint="eastAsia"/>
        </w:rPr>
      </w:pPr>
      <w:r>
        <w:rPr>
          <w:rFonts w:hint="eastAsia"/>
        </w:rPr>
        <w:t xml:space="preserve">有的使用者提出引导需求后，工作人员反而开始怀疑其独立行动能力，把本应协助解决的问题变成了拒绝接待的理由。</w:t>
      </w:r>
    </w:p>
    <w:p w14:paraId="5394A6AF">
      <w:pPr>
        <w:pStyle w:val="4"/>
      </w:pPr>
      <w:bookmarkStart w:id="24" w:name="_Toc242417914"/>
      <w:bookmarkStart w:id="25" w:name="_Toc239432612"/>
      <w:r>
        <w:rPr>
          <w:rFonts w:ascii="宋体" w:hAnsi="宋体" w:eastAsia="宋体"/>
          <w:b w:val="0"/>
        </w:rPr>
        <w:t>三 三类服务结果是怎样产生的</w:t>
      </w:r>
      <w:bookmarkEnd w:id="24"/>
      <w:bookmarkEnd w:id="25"/>
    </w:p>
    <w:p w14:paraId="4C4ECD8F">
      <w:pPr>
        <w:rPr>
          <w:rFonts w:hint="eastAsia"/>
        </w:rPr>
      </w:pPr>
      <w:r>
        <w:rPr>
          <w:rFonts w:hint="eastAsia"/>
        </w:rPr>
        <w:t xml:space="preserve">集团规则不清、渠道信息不一致和一线授权不足，会增加工作人员临时判断的空间；把导盲犬当作普通宠物、怀疑视障者能否独立入住，又会影响这些判断。</w:t>
      </w:r>
      <w:r>
        <w:rPr>
          <w:rFonts w:hint="eastAsia"/>
        </w:rPr>
        <w:t xml:space="preserve">以下是根据已整理的电话案例作出的定性解释，本报告尚未将各类顾虑与最终结果作交叉统计：</w:t>
      </w:r>
      <w:r>
        <w:rPr>
          <w:rFonts w:hint="eastAsia"/>
        </w:rPr>
        <w:t xml:space="preserve">有门店套用宠物规则或怀疑视障者能否独立入住后拒绝接待；有工作人员表示没有相关规定或需要请示，咨询因此需要多次往返；对卫生、安全和客诉的担忧，有时以附带条件的形式出现</w:t>
      </w:r>
      <w:r>
        <w:rPr>
          <w:rFonts w:hint="eastAsia"/>
        </w:rPr>
        <w:t xml:space="preserve">。</w:t>
      </w:r>
    </w:p>
    <w:p w14:paraId="74B6FCE3">
      <w:pPr>
        <w:pStyle w:val="5"/>
        <w:rPr>
          <w:rFonts w:hint="eastAsia"/>
        </w:rPr>
      </w:pPr>
      <w:r>
        <w:rPr>
          <w:rFonts w:hint="eastAsia"/>
        </w:rPr>
        <w:t>（一）最终拒绝的形成</w:t>
      </w:r>
    </w:p>
    <w:p w14:paraId="47468980">
      <w:pPr>
        <w:rPr>
          <w:rFonts w:hint="eastAsia"/>
        </w:rPr>
      </w:pPr>
      <w:r>
        <w:rPr>
          <w:rFonts w:hint="eastAsia"/>
        </w:rPr>
        <w:t>门店直接套用宠物禁入规则时，咨询可能在第一轮就结束。咨询者说明导盲犬的属性和工作后，一些门店的拒绝理由又转向客房卫生、夜间噪音、人身安全、其他住客情绪，乃至质疑视障者能否自理。</w:t>
      </w:r>
    </w:p>
    <w:p w14:paraId="1CD31BAE">
      <w:pPr>
        <w:rPr>
          <w:rFonts w:hint="eastAsia"/>
        </w:rPr>
      </w:pPr>
      <w:r>
        <w:rPr>
          <w:rFonts w:hint="eastAsia"/>
        </w:rPr>
        <w:t>部分门店在咨询者说明工作犬属性和法律依据后，仍维持拒绝。咨询者的解释可以澄清一些误解，但不能替代酒店作出接待决定、承担接待责任。对使用者来说，回答了一个顾虑，还可能需要接着回答下一个。</w:t>
      </w:r>
    </w:p>
    <w:p w14:paraId="57A715BB">
      <w:pPr>
        <w:pStyle w:val="5"/>
        <w:rPr>
          <w:rFonts w:hint="eastAsia"/>
        </w:rPr>
      </w:pPr>
      <w:r>
        <w:rPr>
          <w:rFonts w:hint="eastAsia"/>
        </w:rPr>
        <w:t>（二）多轮沟通的形成</w:t>
      </w:r>
    </w:p>
    <w:p w14:paraId="459EB1E9">
      <w:pPr>
        <w:rPr>
          <w:rFonts w:hint="eastAsia"/>
        </w:rPr>
      </w:pPr>
      <w:r>
        <w:rPr>
          <w:rFonts w:hint="eastAsia"/>
        </w:rPr>
        <w:t>前台遇到不熟悉的服务犬咨询时，有时表示无法当场答复，需要向值班经理、店长或集团客服请示；这可能与门店缺少明确流程或前台授权有关。咨询者因此需要等待、再次致电，或向不同工作人员重复说明同一需求；即使多次联系，最终也可能仍被拒绝。</w:t>
      </w:r>
    </w:p>
    <w:p w14:paraId="06CA07FC">
      <w:pPr>
        <w:rPr>
          <w:rFonts w:hint="eastAsia"/>
        </w:rPr>
      </w:pPr>
      <w:r>
        <w:rPr>
          <w:rFonts w:hint="eastAsia"/>
        </w:rPr>
        <w:t>在此过程中，“其他住客是否介意或投诉”有时成为门店继续拒绝的理由。使用者无法替其他住客作出保证，却可能还要解释法律依据，或承诺到店后帮助酒店向其他住客说明。向其他住客解释、调整环境，本应由酒店负责，这部分工作却转给了使用者。</w:t>
      </w:r>
    </w:p>
    <w:p w14:paraId="013B2295">
      <w:pPr>
        <w:pStyle w:val="5"/>
        <w:rPr>
          <w:rFonts w:hint="eastAsia"/>
        </w:rPr>
      </w:pPr>
      <w:r>
        <w:rPr>
          <w:rFonts w:hint="eastAsia"/>
        </w:rPr>
        <w:t>（三）附带条件的形成</w:t>
      </w:r>
    </w:p>
    <w:p w14:paraId="7D362EE7">
      <w:pPr>
        <w:rPr>
          <w:rFonts w:hint="eastAsia"/>
        </w:rPr>
      </w:pPr>
      <w:r>
        <w:rPr>
          <w:rFonts w:hint="eastAsia"/>
        </w:rPr>
        <w:t>部分门店把对客房清洁、安全和客诉的担忧，转成额外押金、清洁费、免责协议、活动范围限制或指定房型。即使没有直接拒绝，这些条件也把费用、承诺和行程调整的压力转给了使用者，而这些问题本应由酒店在日常接待管理中处理。</w:t>
      </w:r>
    </w:p>
    <w:p w14:paraId="22B2448A">
      <w:pPr>
        <w:pStyle w:val="4"/>
      </w:pPr>
      <w:bookmarkStart w:id="26" w:name="_Toc242417915"/>
      <w:bookmarkStart w:id="27" w:name="_Toc239432613"/>
      <w:r>
        <w:rPr>
          <w:rFonts w:ascii="宋体" w:hAnsi="宋体" w:eastAsia="宋体"/>
          <w:b w:val="0"/>
        </w:rPr>
        <w:t>四 原因分析小结</w:t>
      </w:r>
      <w:bookmarkEnd w:id="26"/>
      <w:bookmarkEnd w:id="27"/>
    </w:p>
    <w:p w14:paraId="0899F680">
      <w:pPr>
        <w:rPr>
          <w:rFonts w:hint="eastAsia"/>
          <w:lang w:eastAsia="zh-CN"/>
        </w:rPr>
      </w:pPr>
      <w:r>
        <w:rPr>
          <w:rFonts w:hint="eastAsia"/>
          <w:lang w:eastAsia="zh-CN"/>
        </w:rPr>
        <w:t xml:space="preserve">调研期间的</w:t>
      </w:r>
      <w:r>
        <w:rPr>
          <w:rFonts w:hint="eastAsia"/>
          <w:lang w:eastAsia="zh-CN"/>
        </w:rPr>
        <w:t>电话记录、平台标注、集团公开材料和客服回复显示，接待责任没有落到明确的岗位上：规则或公开信息不明确时，前台难以直接答复，集团客服也可能把决定推回门店，使用者便需要在不同渠道之间继续询问和解释。</w:t>
      </w:r>
    </w:p>
    <w:p w14:paraId="69533957">
      <w:pPr>
        <w:rPr>
          <w:rFonts w:hint="eastAsia"/>
          <w:lang w:eastAsia="zh-CN"/>
        </w:rPr>
      </w:pPr>
      <w:r>
        <w:rPr>
          <w:rFonts w:hint="eastAsia"/>
          <w:lang w:eastAsia="zh-CN"/>
        </w:rPr>
        <w:t>图8衡量调研中能否查到平台标注、总部规则和查验要求，图9衡量集团客服能否说清规则并主动回应；两者都没有直接测量门店的执行情况。公开信息和客服答复的改进，应以减少使用者额外查询为目标，由服务方主动说明必要事项并完成内部交接。门店是否照此执行、实际减少了多少负担，仍需通过入住观察等材料验证。</w:t>
      </w:r>
      <w:r>
        <w:rPr>
          <w:rFonts w:hint="eastAsia"/>
          <w:lang w:eastAsia="zh-CN"/>
        </w:rPr>
        <w:t xml:space="preserve">2026年10月的公开信息补充同样只反映页面表述，不能说明门店的实际接待是否改善。</w:t>
      </w:r>
    </w:p>
    <w:p w14:paraId="132C0ED4">
      <w:pPr>
        <w:rPr>
          <w:rFonts w:hint="eastAsia"/>
          <w:lang w:eastAsia="zh-CN"/>
        </w:rPr>
      </w:pPr>
      <w:r>
        <w:rPr>
          <w:rFonts w:hint="eastAsia"/>
          <w:lang w:eastAsia="zh-CN"/>
        </w:rPr>
        <w:t xml:space="preserve">将工作犬误判为普通宠物，或在未了解实际需求前便武断推定视障者缺乏自理能力，可能导致拒绝，也可能带来附</w:t>
      </w:r>
      <w:r>
        <w:rPr>
          <w:rFonts w:hint="eastAsia"/>
          <w:lang w:eastAsia="zh-CN"/>
        </w:rPr>
        <w:t xml:space="preserve">带条件</w:t>
      </w:r>
      <w:r>
        <w:rPr>
          <w:rFonts w:hint="eastAsia"/>
          <w:lang w:eastAsia="zh-CN"/>
        </w:rPr>
        <w:t xml:space="preserve">。导盲犬使用者应当像其他住客一样，不必在酒店各级人员之间反复解释自己的入住权利。酒店应主动说明接待规则，明确由谁确认答复，由首次接听人员负责回电，并把确认结果交接给到店接待人员。</w:t>
      </w:r>
    </w:p>
    <w:p w14:paraId="4FC0C875">
      <w:pPr>
        <w:rPr>
          <w:rFonts w:hint="eastAsia"/>
          <w:lang w:eastAsia="zh-CN"/>
        </w:rPr>
      </w:pPr>
      <w:r>
        <w:rPr>
          <w:rFonts w:hint="eastAsia"/>
          <w:lang w:eastAsia="zh-CN"/>
        </w:rPr>
        <w:t xml:space="preserve">依法接待导盲犬使用者，应成为酒店的日常服务。</w:t>
      </w:r>
      <w:r>
        <w:rPr>
          <w:rFonts w:hint="eastAsia"/>
          <w:lang w:eastAsia="zh-CN"/>
        </w:rPr>
        <w:t xml:space="preserve">这样做</w:t>
      </w:r>
      <w:r>
        <w:rPr>
          <w:rFonts w:hint="eastAsia"/>
          <w:lang w:eastAsia="zh-CN"/>
        </w:rPr>
        <w:t xml:space="preserve">首先是为了让使用者不再为一次普通入住反复解释和等待</w:t>
      </w:r>
      <w:r>
        <w:rPr>
          <w:rFonts w:hint="eastAsia"/>
          <w:lang w:eastAsia="zh-CN"/>
        </w:rPr>
        <w:t xml:space="preserve">，也能惠及</w:t>
      </w:r>
      <w:r>
        <w:rPr>
          <w:rFonts w:hint="eastAsia"/>
          <w:lang w:eastAsia="zh-CN"/>
        </w:rPr>
        <w:t xml:space="preserve">老年人、儿童、临时受伤者等其他需要协助的住客。</w:t>
      </w:r>
    </w:p>
    <w:p w14:paraId="31D72000">
      <w:pPr>
        <w:pStyle w:val="3"/>
        <w:pageBreakBefore/>
      </w:pPr>
      <w:bookmarkStart w:id="28" w:name="_Toc238606832"/>
      <w:bookmarkStart w:id="29" w:name="_Toc239432619"/>
      <w:bookmarkStart w:id="30" w:name="_Toc242417916"/>
      <w:r>
        <w:rPr>
          <w:rFonts w:hint="eastAsia" w:ascii="Times New Roman" w:hAnsi="Times New Roman" w:eastAsia="黑体"/>
          <w:lang w:eastAsia="zh-CN"/>
        </w:rPr>
        <w:t>第三章 改进建议</w:t>
      </w:r>
      <w:bookmarkEnd w:id="28"/>
      <w:bookmarkEnd w:id="29"/>
      <w:bookmarkEnd w:id="30"/>
    </w:p>
    <w:p w14:paraId="60CC65F1">
      <w:pPr>
        <w:rPr>
          <w:rFonts w:hint="eastAsia"/>
        </w:rPr>
      </w:pPr>
      <w:r>
        <w:rPr>
          <w:rFonts w:hint="eastAsia"/>
        </w:rPr>
        <w:t>我们的改进建议既回应电话记录中的顾虑与障碍，也来自团队成员的住宿经历、日常社群交流，以及与导盲犬使用者开展的单独交流、咨询和焦点小组讨论（详见附录一（四））。</w:t>
      </w:r>
    </w:p>
    <w:p w14:paraId="0E7A302C">
      <w:pPr>
        <w:rPr>
          <w:rFonts w:hint="eastAsia"/>
        </w:rPr>
      </w:pPr>
      <w:r>
        <w:rPr>
          <w:rFonts w:hint="eastAsia"/>
        </w:rPr>
        <w:t xml:space="preserve">依法为携带导盲犬的住客提供便利，是酒店应当做到的基本要求。导盲犬使用者最清楚规则在日常中是否行得通，制定、试用和评估接待规则时，都应有他们参与</w:t>
      </w:r>
      <w:r>
        <w:rPr>
          <w:rFonts w:hint="eastAsia"/>
        </w:rPr>
        <w:t xml:space="preserve">。</w:t>
      </w:r>
      <w:r>
        <w:rPr>
          <w:rFonts w:hint="eastAsia"/>
        </w:rPr>
        <w:t xml:space="preserve">把法律要求转成接待规则、员工培训和服务流程，</w:t>
      </w:r>
      <w:r>
        <w:rPr>
          <w:rFonts w:hint="eastAsia"/>
        </w:rPr>
        <w:t xml:space="preserve">是酒店及相关主体的责任。</w:t>
      </w:r>
    </w:p>
    <w:p w14:paraId="34BF39DD">
      <w:pPr>
        <w:rPr>
          <w:rFonts w:hint="eastAsia"/>
        </w:rPr>
      </w:pPr>
      <w:r>
        <w:rPr>
          <w:rFonts w:hint="eastAsia"/>
        </w:rPr>
        <w:t>本章重点回应三个问题：酒店和平台没有清楚公开接待信息，集团客服与门店的答复不一致，门店没有把已确认的安排交接给到店接待人员。</w:t>
      </w:r>
    </w:p>
    <w:p w14:paraId="2F23B9EB">
      <w:pPr>
        <w:rPr>
          <w:rFonts w:hint="eastAsia"/>
          <w:bCs/>
        </w:rPr>
      </w:pPr>
      <w:r>
        <w:rPr>
          <w:rFonts w:hint="eastAsia"/>
        </w:rPr>
        <w:t>以下分别对酒店集团总部、门店、预订平台、公共部门以及公众和行业组织提出建议。</w:t>
      </w:r>
    </w:p>
    <w:p w14:paraId="08A04A2F">
      <w:pPr>
        <w:pStyle w:val="4"/>
        <w:spacing w:before="160" w:after="80"/>
      </w:pPr>
      <w:bookmarkStart w:id="31" w:name="_Toc242417917"/>
      <w:bookmarkStart w:id="32" w:name="_Toc239432620"/>
      <w:bookmarkStart w:id="33" w:name="_Toc238606833"/>
      <w:r>
        <w:rPr>
          <w:rFonts w:ascii="Times New Roman" w:hAnsi="Times New Roman" w:eastAsia="黑体"/>
        </w:rPr>
        <w:t>一 法律依据与行动优先级</w:t>
      </w:r>
      <w:bookmarkEnd w:id="31"/>
      <w:bookmarkEnd w:id="32"/>
      <w:bookmarkEnd w:id="33"/>
    </w:p>
    <w:p w14:paraId="0857250C">
      <w:pPr>
        <w:pStyle w:val="5"/>
      </w:pPr>
      <w:r>
        <w:t>（一）法律依据与适用范围</w:t>
      </w:r>
    </w:p>
    <w:p w14:paraId="6734FAEB">
      <w:pPr>
        <w:rPr>
          <w:rFonts w:hint="eastAsia"/>
        </w:rPr>
      </w:pPr>
      <w:r>
        <w:rPr>
          <w:rFonts w:hint="eastAsia"/>
        </w:rPr>
        <w:t>《中华人民共和国无障碍环境建设法》第四十六条第一款明确规定，公共场所经营管理单位应当为残疾人携带导盲犬、导听犬、辅助犬等服务犬提供便利；第二款同时规定，残疾人携带服务犬出入公共场所时，应当遵守国家有关规定，为服务犬佩戴明显识别装备并采取必要的防护措施。</w:t>
      </w:r>
    </w:p>
    <w:p w14:paraId="3E263562">
      <w:pPr>
        <w:rPr>
          <w:rFonts w:hint="eastAsia"/>
        </w:rPr>
      </w:pPr>
      <w:r>
        <w:rPr>
          <w:rFonts w:hint="eastAsia"/>
        </w:rPr>
        <w:t>《无障碍环境建设条例》第十六条与《中华人民共和国残疾人保障法》第五十八条亦从法理上确立了相同的权利义务框架。</w:t>
      </w:r>
    </w:p>
    <w:p w14:paraId="5C9B98D7">
      <w:pPr>
        <w:rPr>
          <w:rFonts w:hint="eastAsia"/>
        </w:rPr>
      </w:pPr>
      <w:r>
        <w:rPr>
          <w:rFonts w:hint="eastAsia"/>
        </w:rPr>
        <w:t>据此，酒店有法定义务为住宿及公共空间服务建立公开可查、规范执行且接受监督的接待规则。在实务中，应区分三类要求：查看明显识别装备、要求采取必要的防护措施，属于第四十六条规定的范围；证件核验应以国家或所在地的具体规定为依据，并与集团自身规则、本报告建议分开说明；在此之外向导盲犬使用者追加费用、要求签署免责协议或限制活动范围，则需要具体的事实依据。</w:t>
      </w:r>
    </w:p>
    <w:p w14:paraId="7EF8ED56">
      <w:pPr>
        <w:rPr>
          <w:rFonts w:hint="eastAsia"/>
        </w:rPr>
      </w:pPr>
      <w:r>
        <w:rPr>
          <w:rFonts w:hint="eastAsia"/>
        </w:rPr>
        <w:t xml:space="preserve">《中华人民共和国消费者权益保护法》第十四条确立了消费者人格尊严受尊重的基本权利；第十六条要求经营者履行法定义务，恪守社会公德，不得设定不公平、不合理的交易条件；第二十六条则严格限制经营者通过格式条款、声明或店堂告示作出排除限制消费者权利、加重消费者责任等不公平规定。市场监管部门</w:t>
      </w:r>
      <w:r>
        <w:rPr>
          <w:rFonts w:hint="eastAsia"/>
        </w:rPr>
        <w:t xml:space="preserve">处理相关消费投诉、酒店集团</w:t>
      </w:r>
      <w:r>
        <w:rPr>
          <w:rFonts w:hint="eastAsia"/>
        </w:rPr>
        <w:t xml:space="preserve">审定接待格式合同时，</w:t>
      </w:r>
      <w:r>
        <w:rPr>
          <w:rFonts w:hint="eastAsia"/>
        </w:rPr>
        <w:t xml:space="preserve">应重点审查</w:t>
      </w:r>
      <w:r>
        <w:rPr>
          <w:rFonts w:hint="eastAsia"/>
        </w:rPr>
        <w:t xml:space="preserve">针对导盲犬使用者</w:t>
      </w:r>
      <w:r>
        <w:rPr>
          <w:rFonts w:hint="eastAsia"/>
        </w:rPr>
        <w:t xml:space="preserve">加收押金、清洁费、要求签署免责协议或</w:t>
      </w:r>
      <w:r>
        <w:rPr>
          <w:rFonts w:hint="eastAsia"/>
        </w:rPr>
        <w:t xml:space="preserve">安排隔离性房型等做法</w:t>
      </w:r>
      <w:r>
        <w:rPr>
          <w:rFonts w:hint="eastAsia"/>
        </w:rPr>
        <w:t xml:space="preserve">：有没有</w:t>
      </w:r>
      <w:r>
        <w:rPr>
          <w:rFonts w:hint="eastAsia"/>
        </w:rPr>
        <w:t xml:space="preserve">客观事实依据</w:t>
      </w:r>
      <w:r>
        <w:rPr>
          <w:rFonts w:hint="eastAsia"/>
        </w:rPr>
        <w:t xml:space="preserve">，</w:t>
      </w:r>
      <w:r>
        <w:rPr>
          <w:rFonts w:hint="eastAsia"/>
        </w:rPr>
        <w:t xml:space="preserve">是否背离了对普通住客一视同仁的</w:t>
      </w:r>
      <w:r>
        <w:rPr>
          <w:rFonts w:hint="eastAsia"/>
        </w:rPr>
        <w:t xml:space="preserve">规则，是否构成</w:t>
      </w:r>
      <w:r>
        <w:rPr>
          <w:rFonts w:hint="eastAsia"/>
        </w:rPr>
        <w:t xml:space="preserve">强加给消费者的不合理负担与歧视性条款。</w:t>
      </w:r>
    </w:p>
    <w:p>
      <w:pPr>
        <w:rPr/>
      </w:pPr>
      <w:r>
        <w:t xml:space="preserve">此外，推荐性国家标准《无障碍旅游服务规范 旅游饭店》（GB/T 47543—2026）已于2026年4月30日发布、2026年8月1日起实施，由文化和旅游部主管、全国旅游标准化技术委员会归口；截至2026年10月11日核查，该标准状态为现行。据央广网2026年6月7日报道，该标准要求酒店允许导盲犬等服务犬进入所有公共区域，并配备休息区、食具、便器等配套设施。本报告尚未取得标准全文，上述内容以媒体报道为准，引用具体条款前需核对全文。法律规定的是酒店必须履行的义务；推荐性国家标准为酒店提供对照执行的服务规范；集团规则是企业自身的规定。三者应分开说明，不能把推荐性标准整体当作新的强制性法律，也不能用集团规则替代法律义务。</w:t>
      </w:r>
    </w:p>
    <w:p w14:paraId="6252022B">
      <w:pPr>
        <w:pStyle w:val="5"/>
      </w:pPr>
      <w:r>
        <w:t>（二）合规底线与行动优先级</w:t>
      </w:r>
    </w:p>
    <w:p w14:paraId="3860E436">
      <w:pPr>
        <w:rPr>
          <w:rFonts w:hint="eastAsia"/>
        </w:rPr>
      </w:pPr>
      <w:r>
        <w:rPr>
          <w:rFonts w:hint="eastAsia"/>
        </w:rPr>
        <w:t>先纠正拒绝接待、无依据的额外收费和相互矛盾的政策信息，再将规则查询、内部确认、岗位交接和按需引导落实到日常工作。</w:t>
      </w:r>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autofit"/>
        <w:tblCellMar>
          <w:top w:w="0" w:type="dxa"/>
          <w:left w:w="108" w:type="dxa"/>
          <w:bottom w:w="0" w:type="dxa"/>
          <w:right w:w="108" w:type="dxa"/>
        </w:tblCellMar>
      </w:tblPr>
      <w:tblGrid>
        <w:gridCol w:w="1101"/>
        <w:gridCol w:w="2393"/>
        <w:gridCol w:w="4786"/>
      </w:tblGrid>
      <w:tr w14:paraId="39DF8BC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101" w:type="dxa"/>
            <w:shd w:val="clear" w:color="auto" w:fill="2C2C2C"/>
            <w:tcMar>
              <w:top w:w="90" w:type="dxa"/>
              <w:left w:w="100" w:type="dxa"/>
              <w:bottom w:w="90" w:type="dxa"/>
              <w:right w:w="100" w:type="dxa"/>
            </w:tcMar>
            <w:vAlign w:val="center"/>
          </w:tcPr>
          <w:p w14:paraId="345F777A">
            <w:pPr>
              <w:keepNext/>
              <w:snapToGrid w:val="0"/>
              <w:spacing w:before="0" w:after="0" w:line="240" w:lineRule="auto"/>
              <w:ind w:firstLine="0"/>
              <w:jc w:val="center"/>
              <w:rPr>
                <w:rFonts w:eastAsia="黑体"/>
                <w:b/>
                <w:sz w:val="17"/>
              </w:rPr>
            </w:pPr>
            <w:r>
              <w:rPr>
                <w:rFonts w:eastAsia="黑体"/>
                <w:b/>
                <w:color w:val="FFFFFF"/>
                <w:sz w:val="17"/>
              </w:rPr>
              <w:t>责任主体</w:t>
            </w:r>
          </w:p>
        </w:tc>
        <w:tc>
          <w:tcPr>
            <w:tcW w:w="2393" w:type="dxa"/>
            <w:shd w:val="clear" w:color="auto" w:fill="2C2C2C"/>
            <w:tcMar>
              <w:top w:w="90" w:type="dxa"/>
              <w:left w:w="100" w:type="dxa"/>
              <w:bottom w:w="90" w:type="dxa"/>
              <w:right w:w="100" w:type="dxa"/>
            </w:tcMar>
            <w:vAlign w:val="center"/>
          </w:tcPr>
          <w:p w14:paraId="4D776567">
            <w:pPr>
              <w:keepNext/>
              <w:snapToGrid w:val="0"/>
              <w:spacing w:before="0" w:after="0" w:line="240" w:lineRule="auto"/>
              <w:ind w:firstLine="0"/>
              <w:jc w:val="center"/>
              <w:rPr>
                <w:rFonts w:eastAsia="黑体"/>
                <w:b/>
                <w:sz w:val="17"/>
              </w:rPr>
            </w:pPr>
            <w:r>
              <w:rPr>
                <w:rFonts w:eastAsia="黑体"/>
                <w:b/>
                <w:color w:val="FFFFFF"/>
                <w:sz w:val="17"/>
              </w:rPr>
              <w:t>当前问题</w:t>
            </w:r>
          </w:p>
        </w:tc>
        <w:tc>
          <w:tcPr>
            <w:tcW w:w="4786" w:type="dxa"/>
            <w:shd w:val="clear" w:color="auto" w:fill="2C2C2C"/>
            <w:tcMar>
              <w:top w:w="90" w:type="dxa"/>
              <w:left w:w="100" w:type="dxa"/>
              <w:bottom w:w="90" w:type="dxa"/>
              <w:right w:w="100" w:type="dxa"/>
            </w:tcMar>
            <w:vAlign w:val="center"/>
          </w:tcPr>
          <w:p w14:paraId="7879F156">
            <w:pPr>
              <w:keepNext/>
              <w:snapToGrid w:val="0"/>
              <w:spacing w:before="0" w:after="0" w:line="240" w:lineRule="auto"/>
              <w:ind w:firstLine="0"/>
              <w:jc w:val="center"/>
              <w:rPr>
                <w:rFonts w:eastAsia="黑体"/>
                <w:b/>
                <w:sz w:val="17"/>
              </w:rPr>
            </w:pPr>
            <w:r>
              <w:rPr>
                <w:rFonts w:eastAsia="黑体"/>
                <w:b/>
                <w:color w:val="FFFFFF"/>
                <w:sz w:val="17"/>
              </w:rPr>
              <w:t>优先动作</w:t>
            </w:r>
          </w:p>
        </w:tc>
      </w:tr>
      <w:tr w14:paraId="7DE9E23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01" w:type="dxa"/>
            <w:shd w:val="clear" w:color="auto" w:fill="FFFFFF"/>
            <w:tcMar>
              <w:top w:w="90" w:type="dxa"/>
              <w:left w:w="100" w:type="dxa"/>
              <w:bottom w:w="90" w:type="dxa"/>
              <w:right w:w="100" w:type="dxa"/>
            </w:tcMar>
            <w:vAlign w:val="center"/>
          </w:tcPr>
          <w:p w14:paraId="500246B4">
            <w:pPr>
              <w:snapToGrid w:val="0"/>
              <w:spacing w:before="0" w:after="0" w:line="240" w:lineRule="auto"/>
              <w:ind w:firstLine="0"/>
              <w:jc w:val="left"/>
              <w:rPr>
                <w:sz w:val="17"/>
              </w:rPr>
            </w:pPr>
            <w:r>
              <w:rPr>
                <w:b/>
                <w:sz w:val="17"/>
              </w:rPr>
              <w:t>集团总部</w:t>
            </w:r>
          </w:p>
        </w:tc>
        <w:tc>
          <w:tcPr>
            <w:tcW w:w="2393" w:type="dxa"/>
            <w:shd w:val="clear" w:color="auto" w:fill="FFFFFF"/>
            <w:tcMar>
              <w:top w:w="90" w:type="dxa"/>
              <w:left w:w="100" w:type="dxa"/>
              <w:bottom w:w="90" w:type="dxa"/>
              <w:right w:w="100" w:type="dxa"/>
            </w:tcMar>
            <w:vAlign w:val="center"/>
          </w:tcPr>
          <w:p w14:paraId="025F5970">
            <w:pPr>
              <w:snapToGrid w:val="0"/>
              <w:spacing w:before="0" w:after="0" w:line="240" w:lineRule="auto"/>
              <w:ind w:firstLine="0"/>
              <w:jc w:val="left"/>
              <w:rPr>
                <w:sz w:val="17"/>
              </w:rPr>
            </w:pPr>
            <w:r>
              <w:rPr>
                <w:sz w:val="17"/>
              </w:rPr>
              <w:t>集团与门店答复不一，纠正结果未传到接待岗位</w:t>
            </w:r>
          </w:p>
        </w:tc>
        <w:tc>
          <w:tcPr>
            <w:tcW w:w="4786" w:type="dxa"/>
            <w:shd w:val="clear" w:color="auto" w:fill="FFFFFF"/>
            <w:tcMar>
              <w:top w:w="90" w:type="dxa"/>
              <w:left w:w="100" w:type="dxa"/>
              <w:bottom w:w="90" w:type="dxa"/>
              <w:right w:w="100" w:type="dxa"/>
            </w:tcMar>
            <w:vAlign w:val="center"/>
          </w:tcPr>
          <w:p w14:paraId="1EF6BC56">
            <w:pPr>
              <w:snapToGrid w:val="0"/>
              <w:spacing w:before="0" w:after="0" w:line="240" w:lineRule="auto"/>
              <w:ind w:firstLine="0"/>
              <w:jc w:val="left"/>
              <w:rPr>
                <w:sz w:val="17"/>
              </w:rPr>
            </w:pPr>
            <w:r>
              <w:rPr>
                <w:sz w:val="17"/>
              </w:rPr>
              <w:t>统一接待、收费和查验规则；总部协调后明确门店执行责任，并核查确认结果的交接。</w:t>
            </w:r>
          </w:p>
        </w:tc>
      </w:tr>
      <w:tr w14:paraId="3DEB7E3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01" w:type="dxa"/>
            <w:shd w:val="clear" w:color="auto" w:fill="FAFAF8"/>
            <w:tcMar>
              <w:top w:w="90" w:type="dxa"/>
              <w:left w:w="100" w:type="dxa"/>
              <w:bottom w:w="90" w:type="dxa"/>
              <w:right w:w="100" w:type="dxa"/>
            </w:tcMar>
            <w:vAlign w:val="center"/>
          </w:tcPr>
          <w:p w14:paraId="10998180">
            <w:pPr>
              <w:snapToGrid w:val="0"/>
              <w:spacing w:before="0" w:after="0" w:line="240" w:lineRule="auto"/>
              <w:ind w:firstLine="0"/>
              <w:jc w:val="left"/>
              <w:rPr>
                <w:sz w:val="17"/>
              </w:rPr>
            </w:pPr>
            <w:r>
              <w:rPr>
                <w:b/>
                <w:sz w:val="17"/>
              </w:rPr>
              <w:t>酒店门店</w:t>
            </w:r>
          </w:p>
        </w:tc>
        <w:tc>
          <w:tcPr>
            <w:tcW w:w="2393" w:type="dxa"/>
            <w:shd w:val="clear" w:color="auto" w:fill="FAFAF8"/>
            <w:tcMar>
              <w:top w:w="90" w:type="dxa"/>
              <w:left w:w="100" w:type="dxa"/>
              <w:bottom w:w="90" w:type="dxa"/>
              <w:right w:w="100" w:type="dxa"/>
            </w:tcMar>
            <w:vAlign w:val="center"/>
          </w:tcPr>
          <w:p w14:paraId="6C09D3A7">
            <w:pPr>
              <w:snapToGrid w:val="0"/>
              <w:spacing w:before="0" w:after="0" w:line="240" w:lineRule="auto"/>
              <w:ind w:firstLine="0"/>
              <w:jc w:val="left"/>
              <w:rPr>
                <w:sz w:val="17"/>
              </w:rPr>
            </w:pPr>
            <w:r>
              <w:rPr>
                <w:sz w:val="17"/>
              </w:rPr>
              <w:t>反复来电，材料和费用未说清，到店需重新确认</w:t>
            </w:r>
          </w:p>
        </w:tc>
        <w:tc>
          <w:tcPr>
            <w:tcW w:w="4786" w:type="dxa"/>
            <w:shd w:val="clear" w:color="auto" w:fill="FAFAF8"/>
            <w:tcMar>
              <w:top w:w="90" w:type="dxa"/>
              <w:left w:w="100" w:type="dxa"/>
              <w:bottom w:w="90" w:type="dxa"/>
              <w:right w:w="100" w:type="dxa"/>
            </w:tcMar>
            <w:vAlign w:val="center"/>
          </w:tcPr>
          <w:p w14:paraId="5009AACC">
            <w:pPr>
              <w:snapToGrid w:val="0"/>
              <w:spacing w:before="0" w:after="0" w:line="240" w:lineRule="auto"/>
              <w:ind w:firstLine="0"/>
              <w:jc w:val="left"/>
              <w:rPr>
                <w:sz w:val="17"/>
              </w:rPr>
            </w:pPr>
            <w:r>
              <w:rPr>
                <w:sz w:val="17"/>
              </w:rPr>
              <w:t>首次接听人联系当班负责人，约时主动回复；一次说明材料和安排，完成预订交接；按住客需要提供引导。</w:t>
            </w:r>
          </w:p>
        </w:tc>
      </w:tr>
      <w:tr w14:paraId="7E8A102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01" w:type="dxa"/>
            <w:shd w:val="clear" w:color="auto" w:fill="FFFFFF"/>
            <w:tcMar>
              <w:top w:w="90" w:type="dxa"/>
              <w:left w:w="100" w:type="dxa"/>
              <w:bottom w:w="90" w:type="dxa"/>
              <w:right w:w="100" w:type="dxa"/>
            </w:tcMar>
            <w:vAlign w:val="center"/>
          </w:tcPr>
          <w:p w14:paraId="0E54D46D">
            <w:pPr>
              <w:snapToGrid w:val="0"/>
              <w:spacing w:before="0" w:after="0" w:line="240" w:lineRule="auto"/>
              <w:ind w:firstLine="0"/>
              <w:jc w:val="left"/>
              <w:rPr>
                <w:sz w:val="17"/>
              </w:rPr>
            </w:pPr>
            <w:r>
              <w:rPr>
                <w:b/>
                <w:sz w:val="17"/>
              </w:rPr>
              <w:t>预订平台</w:t>
            </w:r>
          </w:p>
        </w:tc>
        <w:tc>
          <w:tcPr>
            <w:tcW w:w="2393" w:type="dxa"/>
            <w:shd w:val="clear" w:color="auto" w:fill="FFFFFF"/>
            <w:tcMar>
              <w:top w:w="90" w:type="dxa"/>
              <w:left w:w="100" w:type="dxa"/>
              <w:bottom w:w="90" w:type="dxa"/>
              <w:right w:w="100" w:type="dxa"/>
            </w:tcMar>
            <w:vAlign w:val="center"/>
          </w:tcPr>
          <w:p w14:paraId="67661D08">
            <w:pPr>
              <w:snapToGrid w:val="0"/>
              <w:spacing w:before="0" w:after="0" w:line="240" w:lineRule="auto"/>
              <w:ind w:firstLine="0"/>
              <w:jc w:val="left"/>
              <w:rPr>
                <w:sz w:val="17"/>
              </w:rPr>
            </w:pPr>
            <w:r>
              <w:rPr>
                <w:sz w:val="17"/>
              </w:rPr>
              <w:t>服务犬与宠物混标，页面和门店口径不一</w:t>
            </w:r>
          </w:p>
        </w:tc>
        <w:tc>
          <w:tcPr>
            <w:tcW w:w="4786" w:type="dxa"/>
            <w:shd w:val="clear" w:color="auto" w:fill="FFFFFF"/>
            <w:tcMar>
              <w:top w:w="90" w:type="dxa"/>
              <w:left w:w="100" w:type="dxa"/>
              <w:bottom w:w="90" w:type="dxa"/>
              <w:right w:w="100" w:type="dxa"/>
            </w:tcMar>
            <w:vAlign w:val="center"/>
          </w:tcPr>
          <w:p w14:paraId="5374A807">
            <w:pPr>
              <w:snapToGrid w:val="0"/>
              <w:spacing w:before="0" w:after="0" w:line="240" w:lineRule="auto"/>
              <w:ind w:firstLine="0"/>
              <w:jc w:val="left"/>
              <w:rPr>
                <w:sz w:val="17"/>
              </w:rPr>
            </w:pPr>
            <w:r>
              <w:rPr>
                <w:sz w:val="17"/>
              </w:rPr>
              <w:t>单列服务犬信息，同步集团政策；主动核对页面，收到反馈后核实并更新。</w:t>
            </w:r>
          </w:p>
        </w:tc>
      </w:tr>
      <w:tr w14:paraId="2E2CF80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01" w:type="dxa"/>
            <w:shd w:val="clear" w:color="auto" w:fill="FAFAF8"/>
            <w:tcMar>
              <w:top w:w="90" w:type="dxa"/>
              <w:left w:w="100" w:type="dxa"/>
              <w:bottom w:w="90" w:type="dxa"/>
              <w:right w:w="100" w:type="dxa"/>
            </w:tcMar>
            <w:vAlign w:val="center"/>
          </w:tcPr>
          <w:p w14:paraId="119AD1CF">
            <w:pPr>
              <w:snapToGrid w:val="0"/>
              <w:spacing w:before="0" w:after="0" w:line="240" w:lineRule="auto"/>
              <w:ind w:firstLine="0"/>
              <w:jc w:val="left"/>
              <w:rPr>
                <w:sz w:val="17"/>
              </w:rPr>
            </w:pPr>
            <w:r>
              <w:rPr>
                <w:b/>
                <w:sz w:val="17"/>
              </w:rPr>
              <w:t>公共部门</w:t>
            </w:r>
          </w:p>
        </w:tc>
        <w:tc>
          <w:tcPr>
            <w:tcW w:w="2393" w:type="dxa"/>
            <w:shd w:val="clear" w:color="auto" w:fill="FAFAF8"/>
            <w:tcMar>
              <w:top w:w="90" w:type="dxa"/>
              <w:left w:w="100" w:type="dxa"/>
              <w:bottom w:w="90" w:type="dxa"/>
              <w:right w:w="100" w:type="dxa"/>
            </w:tcMar>
            <w:vAlign w:val="center"/>
          </w:tcPr>
          <w:p w14:paraId="7B6FAEAA">
            <w:pPr>
              <w:snapToGrid w:val="0"/>
              <w:spacing w:before="0" w:after="0" w:line="240" w:lineRule="auto"/>
              <w:ind w:firstLine="0"/>
              <w:jc w:val="left"/>
              <w:rPr>
                <w:sz w:val="17"/>
              </w:rPr>
            </w:pPr>
            <w:r>
              <w:rPr>
                <w:sz w:val="17"/>
              </w:rPr>
              <w:t>操作与执法边界不清</w:t>
            </w:r>
          </w:p>
        </w:tc>
        <w:tc>
          <w:tcPr>
            <w:tcW w:w="4786" w:type="dxa"/>
            <w:shd w:val="clear" w:color="auto" w:fill="FAFAF8"/>
            <w:tcMar>
              <w:top w:w="90" w:type="dxa"/>
              <w:left w:w="100" w:type="dxa"/>
              <w:bottom w:w="90" w:type="dxa"/>
              <w:right w:w="100" w:type="dxa"/>
            </w:tcMar>
            <w:vAlign w:val="center"/>
          </w:tcPr>
          <w:p w14:paraId="068CA001">
            <w:pPr>
              <w:snapToGrid w:val="0"/>
              <w:spacing w:before="0" w:after="0" w:line="240" w:lineRule="auto"/>
              <w:ind w:firstLine="0"/>
              <w:jc w:val="left"/>
              <w:rPr>
                <w:sz w:val="17"/>
              </w:rPr>
            </w:pPr>
            <w:r>
              <w:rPr>
                <w:sz w:val="17"/>
              </w:rPr>
              <w:t>发布操作指引、典型案例和评价标准。</w:t>
            </w:r>
          </w:p>
        </w:tc>
      </w:tr>
      <w:tr w14:paraId="30E62646">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01" w:type="dxa"/>
            <w:shd w:val="clear" w:color="auto" w:fill="FFFFFF"/>
            <w:tcMar>
              <w:top w:w="90" w:type="dxa"/>
              <w:left w:w="100" w:type="dxa"/>
              <w:bottom w:w="90" w:type="dxa"/>
              <w:right w:w="100" w:type="dxa"/>
            </w:tcMar>
            <w:vAlign w:val="center"/>
          </w:tcPr>
          <w:p w14:paraId="0E34F400">
            <w:pPr>
              <w:snapToGrid w:val="0"/>
              <w:spacing w:before="0" w:after="0" w:line="240" w:lineRule="auto"/>
              <w:ind w:firstLine="0"/>
              <w:jc w:val="left"/>
              <w:rPr>
                <w:sz w:val="17"/>
              </w:rPr>
            </w:pPr>
            <w:r>
              <w:rPr>
                <w:b/>
                <w:sz w:val="17"/>
              </w:rPr>
              <w:t>公众与行业组织</w:t>
            </w:r>
          </w:p>
        </w:tc>
        <w:tc>
          <w:tcPr>
            <w:tcW w:w="2393" w:type="dxa"/>
            <w:shd w:val="clear" w:color="auto" w:fill="FFFFFF"/>
            <w:tcMar>
              <w:top w:w="90" w:type="dxa"/>
              <w:left w:w="100" w:type="dxa"/>
              <w:bottom w:w="90" w:type="dxa"/>
              <w:right w:w="100" w:type="dxa"/>
            </w:tcMar>
            <w:vAlign w:val="center"/>
          </w:tcPr>
          <w:p w14:paraId="20815F58">
            <w:pPr>
              <w:snapToGrid w:val="0"/>
              <w:spacing w:before="0" w:after="0" w:line="240" w:lineRule="auto"/>
              <w:ind w:firstLine="0"/>
              <w:jc w:val="left"/>
              <w:rPr>
                <w:sz w:val="17"/>
              </w:rPr>
            </w:pPr>
            <w:r>
              <w:rPr>
                <w:sz w:val="17"/>
              </w:rPr>
              <w:t>认知与共处规则不足</w:t>
            </w:r>
          </w:p>
        </w:tc>
        <w:tc>
          <w:tcPr>
            <w:tcW w:w="4786" w:type="dxa"/>
            <w:shd w:val="clear" w:color="auto" w:fill="FFFFFF"/>
            <w:tcMar>
              <w:top w:w="90" w:type="dxa"/>
              <w:left w:w="100" w:type="dxa"/>
              <w:bottom w:w="90" w:type="dxa"/>
              <w:right w:w="100" w:type="dxa"/>
            </w:tcMar>
            <w:vAlign w:val="center"/>
          </w:tcPr>
          <w:p w14:paraId="1E33876A">
            <w:pPr>
              <w:snapToGrid w:val="0"/>
              <w:spacing w:before="0" w:after="0" w:line="240" w:lineRule="auto"/>
              <w:ind w:firstLine="0"/>
              <w:jc w:val="left"/>
              <w:rPr>
                <w:sz w:val="17"/>
              </w:rPr>
            </w:pPr>
            <w:r>
              <w:rPr>
                <w:sz w:val="17"/>
              </w:rPr>
              <w:t>开展科普，支持残障者参与评估和服务共创。</w:t>
            </w:r>
          </w:p>
        </w:tc>
      </w:tr>
    </w:tbl>
    <w:p w14:paraId="7418476F">
      <w:pPr>
        <w:pStyle w:val="4"/>
      </w:pPr>
      <w:bookmarkStart w:id="34" w:name="_Toc242417918"/>
      <w:bookmarkStart w:id="35" w:name="_Toc238606834"/>
      <w:bookmarkStart w:id="36" w:name="_Toc239432621"/>
      <w:r>
        <w:rPr>
          <w:rFonts w:ascii="Times New Roman" w:hAnsi="Times New Roman" w:eastAsia="黑体"/>
        </w:rPr>
        <w:t>二 酒店集团总部</w:t>
      </w:r>
      <w:bookmarkEnd w:id="34"/>
      <w:bookmarkEnd w:id="35"/>
      <w:bookmarkEnd w:id="36"/>
    </w:p>
    <w:p w14:paraId="5B5B18DE">
      <w:pPr>
        <w:rPr>
          <w:rFonts w:hint="eastAsia"/>
        </w:rPr>
      </w:pPr>
      <w:r>
        <w:rPr>
          <w:rFonts w:hint="eastAsia"/>
        </w:rPr>
        <w:t>集团总部负责制定统一规则，向各渠道提供准确信息，并监督客</w:t>
      </w:r>
      <w:bookmarkStart w:id="75" w:name="_GoBack"/>
      <w:bookmarkEnd w:id="75"/>
      <w:r>
        <w:rPr>
          <w:rFonts w:hint="eastAsia"/>
        </w:rPr>
        <w:t>服和门店执行。集团规则不清、授权不足或信息更新不及时时，前台往往需要另行请示，不同门店、不同接听人员也可能给出不同答复。</w:t>
      </w:r>
    </w:p>
    <w:p w14:paraId="4DAE6DB0">
      <w:pPr>
        <w:pStyle w:val="5"/>
        <w:rPr>
          <w:rFonts w:hint="eastAsia"/>
        </w:rPr>
      </w:pPr>
      <w:r>
        <w:rPr>
          <w:rFonts w:hint="eastAsia"/>
        </w:rPr>
        <w:t>（一）制定并公开全国统一的服务犬接待规程</w:t>
      </w:r>
    </w:p>
    <w:p w14:paraId="0EF2BB75">
      <w:pPr>
        <w:rPr>
          <w:rFonts w:hint="eastAsia"/>
        </w:rPr>
      </w:pPr>
      <w:r>
        <w:rPr>
          <w:rFonts w:hint="eastAsia"/>
        </w:rPr>
        <w:t>集团应在总部制度中写明导盲犬等服务犬与普通宠物的区别，制定适用于旗下所有直营和加盟门店的服务犬接待规程，并写清预订告知、证件核验、入住登记、收费、客诉处理和异常情况的处理办法。</w:t>
      </w:r>
      <w:r>
        <w:rPr>
          <w:rFonts w:hint="eastAsia"/>
        </w:rPr>
        <w:t xml:space="preserve">制定和修订规程、设计培训和评估执行时，可对照推荐性国家标准GB/T 47543—2026，并把法定义务、标准建议和集团自身规则分开写明。</w:t>
      </w:r>
    </w:p>
    <w:p w14:paraId="7156F3AB">
      <w:pPr>
        <w:rPr>
          <w:rFonts w:hint="eastAsia"/>
        </w:rPr>
      </w:pPr>
      <w:r>
        <w:rPr>
          <w:rFonts w:hint="eastAsia"/>
        </w:rPr>
        <w:t>政策规程应在品牌官方网站、官方App、预订小程序、客服知识库及门店前台系统中保持同步发布与醒目公示，让住客和员工都能查到。</w:t>
      </w:r>
    </w:p>
    <w:p w14:paraId="146AD236">
      <w:pPr>
        <w:rPr>
          <w:rFonts w:hint="eastAsia"/>
        </w:rPr>
      </w:pPr>
      <w:r>
        <w:rPr>
          <w:rFonts w:hint="eastAsia"/>
        </w:rPr>
        <w:t xml:space="preserve">集团应</w:t>
      </w:r>
      <w:r>
        <w:rPr>
          <w:rFonts w:hint="eastAsia"/>
        </w:rPr>
        <w:t xml:space="preserve">统一房型计价与押金规则</w:t>
      </w:r>
      <w:r>
        <w:rPr>
          <w:rFonts w:hint="eastAsia"/>
        </w:rPr>
        <w:t xml:space="preserve">，取消针对导盲犬使用者的</w:t>
      </w:r>
      <w:r>
        <w:rPr>
          <w:rFonts w:hint="eastAsia"/>
        </w:rPr>
        <w:t xml:space="preserve">歧视性加价、额外清洁费、强制免责协议、隔离性房型安排以及公共活动空间限制。建立负面清单，明确禁止</w:t>
      </w:r>
      <w:r>
        <w:rPr>
          <w:rFonts w:hint="eastAsia"/>
        </w:rPr>
        <w:t xml:space="preserve">门店以“自主经营”</w:t>
      </w:r>
      <w:r>
        <w:rPr>
          <w:rFonts w:hint="eastAsia"/>
        </w:rPr>
        <w:t xml:space="preserve">“内部惯例”为由</w:t>
      </w:r>
      <w:r>
        <w:rPr>
          <w:rFonts w:hint="eastAsia"/>
        </w:rPr>
        <w:t xml:space="preserve">设立与集团政策相冲突的接待门槛。</w:t>
      </w:r>
    </w:p>
    <w:p w14:paraId="73EEECDB">
      <w:pPr>
        <w:pStyle w:val="5"/>
        <w:rPr>
          <w:rFonts w:hint="eastAsia"/>
        </w:rPr>
      </w:pPr>
      <w:r>
        <w:rPr>
          <w:rFonts w:hint="eastAsia"/>
        </w:rPr>
        <w:t>（二）把规则写入客服知识库和员工培训</w:t>
      </w:r>
    </w:p>
    <w:p w14:paraId="7C9C9FF3">
      <w:pPr>
        <w:rPr>
          <w:rFonts w:hint="eastAsia"/>
        </w:rPr>
      </w:pPr>
      <w:r>
        <w:rPr>
          <w:rFonts w:hint="eastAsia"/>
        </w:rPr>
        <w:t>集团应开发简明、易检索的前台操作指引与多媒体培训课件，将其纳入新员工入职培训与常态化在岗轮训。培训内容需重点覆盖：导盲犬的法律地位与工作属性、一线标准化接待流程、与视障住客沟通的基本无障碍礼仪，以及突发情况与客诉的上报流程。</w:t>
      </w:r>
    </w:p>
    <w:p w14:paraId="0A4A2AAC">
      <w:pPr>
        <w:rPr>
          <w:rFonts w:hint="eastAsia"/>
        </w:rPr>
      </w:pPr>
      <w:r>
        <w:rPr>
          <w:rFonts w:hint="eastAsia"/>
        </w:rPr>
        <w:t>建立客服知识库、门店服务手册与培训资料的版本同步机制。接待规则发生修订时，应写明新规生效日期、适用门店和旧版停用时间，确保官网、客服和门店同步更新。</w:t>
      </w:r>
    </w:p>
    <w:p w14:paraId="42439797">
      <w:pPr>
        <w:pStyle w:val="5"/>
        <w:rPr>
          <w:rFonts w:hint="eastAsia"/>
        </w:rPr>
      </w:pPr>
      <w:r>
        <w:rPr>
          <w:rFonts w:hint="eastAsia"/>
        </w:rPr>
        <w:t>（三）建立监督、申诉和员工免责机制</w:t>
      </w:r>
    </w:p>
    <w:p w14:paraId="7BB7269F">
      <w:pPr>
        <w:rPr>
          <w:rFonts w:hint="eastAsia"/>
        </w:rPr>
      </w:pPr>
      <w:r>
        <w:rPr>
          <w:rFonts w:hint="eastAsia"/>
        </w:rPr>
        <w:t>集团总部可通过抽查、暗访和住客反馈，定期检查门店执行情况。客服中心收到服务犬相关投诉后，应由专人联系门店确定处理方案，并把结果告知使用者，不再让使用者在客服与门店之间反复协商。</w:t>
      </w:r>
    </w:p>
    <w:p w14:paraId="2A33CA61">
      <w:pPr>
        <w:rPr>
          <w:rFonts w:hint="eastAsia"/>
          <w:bCs/>
        </w:rPr>
      </w:pPr>
      <w:r>
        <w:rPr>
          <w:rFonts w:hint="eastAsia"/>
        </w:rPr>
        <w:t>一线员工常担心接待导盲犬后被其他住客投诉。集团应完善考核规则：对依法依规接待导盲犬、却遭遇其他客人非理性投诉或差评的门店与员工，给予考核免责，并提供畅通的内部复核与申诉通道，解除基层接待人员的后顾之忧。</w:t>
      </w:r>
    </w:p>
    <w:p w14:paraId="00DFD2CF">
      <w:pPr>
        <w:pStyle w:val="4"/>
        <w:rPr>
          <w:rFonts w:hint="eastAsia"/>
        </w:rPr>
      </w:pPr>
      <w:bookmarkStart w:id="37" w:name="_Toc242417919"/>
      <w:bookmarkStart w:id="38" w:name="_Toc239432622"/>
      <w:bookmarkStart w:id="39" w:name="_Toc238606835"/>
      <w:r>
        <w:rPr>
          <w:rFonts w:ascii="Times New Roman" w:hAnsi="Times New Roman" w:eastAsia="黑体"/>
        </w:rPr>
        <w:t>三 酒店门店</w:t>
      </w:r>
      <w:bookmarkEnd w:id="37"/>
      <w:bookmarkEnd w:id="38"/>
      <w:bookmarkEnd w:id="39"/>
    </w:p>
    <w:p w14:paraId="268C0EFE">
      <w:pPr>
        <w:rPr>
          <w:rFonts w:hint="eastAsia"/>
        </w:rPr>
      </w:pPr>
      <w:r>
        <w:rPr>
          <w:rFonts w:hint="eastAsia"/>
        </w:rPr>
        <w:t>门店负责把接纳答复落实到一次实际入住。前台应能查到规则、联系当班负责人，并一次说明所需事项；到店接待人员应能查到预订时已确认的信息，按住客意愿提供协助。</w:t>
      </w:r>
    </w:p>
    <w:p w14:paraId="4103A242">
      <w:pPr>
        <w:pStyle w:val="5"/>
        <w:rPr>
          <w:rFonts w:hint="eastAsia"/>
        </w:rPr>
      </w:pPr>
      <w:r>
        <w:rPr>
          <w:rFonts w:hint="eastAsia"/>
        </w:rPr>
        <w:t>（一）首次接听负责、约时回电和到店交接</w:t>
      </w:r>
    </w:p>
    <w:p w14:paraId="48E3FF66">
      <w:pPr>
        <w:rPr>
          <w:rFonts w:hint="eastAsia"/>
        </w:rPr>
      </w:pPr>
      <w:r>
        <w:rPr>
          <w:rFonts w:hint="eastAsia"/>
        </w:rPr>
        <w:t>调研中，33.5%的有效样本需要2次及以上独立通话；40.3%的门店被记录为“沟通后同意”或“沟通后拒绝”（进一步沟通可能发生在同一通电话内）；97家最终由店长、经理等管理人员答复。这说明不少咨询需要前台以外的人员确认。门店应全面推行“首问负责制”：首位接听电话的员工应能查到集团规则；无法当场确认的，由酒店内部联系当班负责人核实，不让住客在不同人员之间反复致电、重复说明。</w:t>
      </w:r>
    </w:p>
    <w:p w14:paraId="699A5A64">
      <w:pPr>
        <w:rPr>
          <w:rFonts w:hint="eastAsia"/>
        </w:rPr>
      </w:pPr>
      <w:r>
        <w:rPr>
          <w:rFonts w:hint="eastAsia"/>
        </w:rPr>
        <w:t xml:space="preserve">能当场确认的，一次说明</w:t>
      </w:r>
      <w:r>
        <w:rPr>
          <w:rFonts w:hint="eastAsia"/>
        </w:rPr>
        <w:t xml:space="preserve">能否入住、需要带哪些证件、收费和接待安排，证件要求的依据由酒店自己核实清楚，</w:t>
      </w:r>
      <w:r>
        <w:rPr>
          <w:rFonts w:hint="eastAsia"/>
        </w:rPr>
        <w:t xml:space="preserve">集团规则不应超出必要范围</w:t>
      </w:r>
      <w:r>
        <w:rPr>
          <w:rFonts w:hint="eastAsia"/>
        </w:rPr>
        <w:t xml:space="preserve">；无法当场确认的，接线人员应与住客约定回复时间并主动回电。</w:t>
      </w:r>
      <w:r>
        <w:rPr>
          <w:rFonts w:hint="eastAsia"/>
        </w:rPr>
        <w:t xml:space="preserve">不应只说“原则同意”，把</w:t>
      </w:r>
      <w:r>
        <w:rPr>
          <w:rFonts w:hint="eastAsia"/>
        </w:rPr>
        <w:t xml:space="preserve">收费、证件和安排</w:t>
      </w:r>
      <w:r>
        <w:rPr>
          <w:rFonts w:hint="eastAsia"/>
        </w:rPr>
        <w:t xml:space="preserve">留到下一次电话。</w:t>
      </w:r>
    </w:p>
    <w:p w14:paraId="1E45854F">
      <w:pPr>
        <w:rPr>
          <w:rFonts w:hint="eastAsia"/>
        </w:rPr>
      </w:pPr>
      <w:r>
        <w:rPr>
          <w:rFonts w:hint="eastAsia"/>
        </w:rPr>
        <w:t>针对电话中已确认、到店仍需重新确认的问题，门店应将电话确认的事项、核实人员工号及特殊约定规范录入酒店管理系统或交接记录。住客抵店后，前台应能直接调取记录并迅速办理入住；如仍有未决事宜，应由门店当班人员内部协调解决，不得转嫁给到店住客。</w:t>
      </w:r>
    </w:p>
    <w:p w14:paraId="5539171D">
      <w:pPr>
        <w:pStyle w:val="5"/>
        <w:rPr>
          <w:rFonts w:hint="eastAsia"/>
        </w:rPr>
      </w:pPr>
      <w:r>
        <w:rPr>
          <w:rFonts w:hint="eastAsia"/>
        </w:rPr>
        <w:t>（二）明确当班负责人和内部上报流程</w:t>
      </w:r>
    </w:p>
    <w:p w14:paraId="66D147AF">
      <w:pPr>
        <w:rPr>
          <w:rFonts w:hint="eastAsia"/>
        </w:rPr>
      </w:pPr>
      <w:r>
        <w:rPr>
          <w:rFonts w:hint="eastAsia"/>
        </w:rPr>
        <w:t>每个运营时段都应有清楚的内部上报流程。最终确认可由现有的值班经理、大堂经理或店长负责，无需另设专岗。排班表和前台通讯录应标明各时段的负责人，前台遇到问题能及时联系，避免住客长时间等待。</w:t>
      </w:r>
    </w:p>
    <w:p w14:paraId="6D67DC04">
      <w:pPr>
        <w:pStyle w:val="5"/>
        <w:rPr>
          <w:rFonts w:hint="eastAsia"/>
        </w:rPr>
      </w:pPr>
      <w:r>
        <w:rPr>
          <w:rFonts w:hint="eastAsia"/>
        </w:rPr>
        <w:t>（三）按住客意愿提供合理便利</w:t>
      </w:r>
    </w:p>
    <w:p w14:paraId="5A0E49F3">
      <w:pPr>
        <w:rPr>
          <w:rFonts w:hint="eastAsia"/>
        </w:rPr>
      </w:pPr>
      <w:r>
        <w:rPr>
          <w:rFonts w:hint="eastAsia"/>
        </w:rPr>
        <w:t>办理入住时，员工应秉持“先询问、后协助”的原则，主动确认住客需要哪些信息支持，介绍从前台到电梯和房间的路线、客房内部布局、空调及照明开关、卫浴设施与核心用品的摆放方位。</w:t>
      </w:r>
    </w:p>
    <w:p w14:paraId="0CC2D731">
      <w:pPr>
        <w:rPr>
          <w:rFonts w:hint="eastAsia"/>
        </w:rPr>
      </w:pPr>
      <w:r>
        <w:rPr>
          <w:rFonts w:hint="eastAsia"/>
        </w:rPr>
        <w:t>若住客表达熟悉路线的需求，可在其同意下带领走一遍路线，并尊重其自身习惯的行动方式。住客希望了解环境或请求引导，是熟悉陌生空间的正常做法，不应被当作不能独立入住的依据。</w:t>
      </w:r>
    </w:p>
    <w:p w14:paraId="2617B280">
      <w:pPr>
        <w:rPr>
          <w:rFonts w:hint="eastAsia"/>
        </w:rPr>
      </w:pPr>
      <w:r>
        <w:rPr>
          <w:rFonts w:hint="eastAsia"/>
        </w:rPr>
        <w:t>门店若配有适宜导盲犬短时活动或排泄的户外安全区域，应主动告知位置。所有协助均应紧扣实际需求，不得以此为由加收任何服务费用，亦不得以此变相限制导盲犬在酒店公共区域的法定通行权利。</w:t>
      </w:r>
    </w:p>
    <w:p w14:paraId="5B89B397">
      <w:pPr>
        <w:pStyle w:val="5"/>
        <w:rPr>
          <w:rFonts w:hint="eastAsia"/>
        </w:rPr>
      </w:pPr>
      <w:r>
        <w:rPr>
          <w:rFonts w:hint="eastAsia"/>
        </w:rPr>
        <w:t>（四）其他住客提出需求时，优先调整环境</w:t>
      </w:r>
    </w:p>
    <w:p w14:paraId="5052A641">
      <w:pPr>
        <w:rPr>
          <w:rFonts w:hint="eastAsia"/>
        </w:rPr>
      </w:pPr>
      <w:r>
        <w:rPr>
          <w:rFonts w:hint="eastAsia"/>
        </w:rPr>
        <w:t xml:space="preserve">当其他住客表达对犬只恐惧、患有过敏反应或提出其他合理顾虑时，门店应了解双方的具体需要，由酒店提出并落实环境调整方案。涉及住客换房、座位或路线调整时，应征得相关住客同意，避免服务降级或额外收费，不默认要求导盲犬使用者让步。工作人员应主动向</w:t>
      </w:r>
      <w:r>
        <w:rPr>
          <w:rFonts w:hint="eastAsia"/>
        </w:rPr>
        <w:t xml:space="preserve">其他</w:t>
      </w:r>
      <w:r>
        <w:rPr>
          <w:rFonts w:hint="eastAsia"/>
        </w:rPr>
        <w:t xml:space="preserve">住客耐心科普工作犬属性与共处规范，不应直接驱逐导盲犬使用者，也不应要求残障住客自行面对并说服其他</w:t>
      </w:r>
      <w:r>
        <w:rPr>
          <w:rFonts w:hint="eastAsia"/>
        </w:rPr>
        <w:t xml:space="preserve">住客</w:t>
      </w:r>
      <w:r>
        <w:rPr>
          <w:rFonts w:hint="eastAsia"/>
        </w:rPr>
        <w:t xml:space="preserve">。</w:t>
      </w:r>
    </w:p>
    <w:p w14:paraId="4AB9DA7D">
      <w:pPr>
        <w:rPr>
          <w:rFonts w:hint="eastAsia"/>
        </w:rPr>
      </w:pPr>
      <w:r>
        <w:rPr>
          <w:rFonts w:hint="eastAsia"/>
        </w:rPr>
        <w:t xml:space="preserve">酒店不应</w:t>
      </w:r>
      <w:r>
        <w:rPr>
          <w:rFonts w:hint="eastAsia"/>
        </w:rPr>
        <w:t xml:space="preserve">要求导盲犬使用者先承诺“零风险”</w:t>
      </w:r>
      <w:r>
        <w:rPr>
          <w:rFonts w:hint="eastAsia"/>
        </w:rPr>
        <w:t xml:space="preserve">，而</w:t>
      </w:r>
      <w:r>
        <w:rPr>
          <w:rFonts w:hint="eastAsia"/>
        </w:rPr>
        <w:t xml:space="preserve">应基于客观事实与实际发生的行为来处理客房卫生、人身安全与环境管理问题，适用与其他住客一致的损害赔偿与责任认定规则，摒弃基于主观预判的前置免责或排斥条款。</w:t>
      </w:r>
    </w:p>
    <w:p w14:paraId="33ECAC0C">
      <w:pPr>
        <w:pStyle w:val="5"/>
        <w:rPr>
          <w:rFonts w:hint="eastAsia"/>
        </w:rPr>
      </w:pPr>
      <w:r>
        <w:rPr>
          <w:rFonts w:hint="eastAsia"/>
        </w:rPr>
        <w:t>（五）减少个人信息留存和暴露</w:t>
      </w:r>
    </w:p>
    <w:p w14:paraId="744535AE">
      <w:pPr>
        <w:rPr>
          <w:bCs/>
        </w:rPr>
      </w:pPr>
      <w:r>
        <w:rPr>
          <w:rFonts w:hint="eastAsia"/>
        </w:rPr>
        <w:t>入口处、服务台或公共区域可设置醒目、温和的“欢迎导盲犬等法定服务犬进入”公共提示，但不应在客房门口、走廊楼层以公示牌、特殊封条等形式公开住客的房号与残障身份。核验的证件信息仅用于本次入住登记，不应允许无关人员查阅，也不应在客户关系管理系统中打上歧视性、病理化的特殊服务标签；确有必要在系统内部记录无障碍协助偏好的，须严格遵循“最小必要原则”，明确告知使用目的并获得住客的知情同意。</w:t>
      </w:r>
    </w:p>
    <w:p w14:paraId="1E294102">
      <w:pPr>
        <w:pStyle w:val="4"/>
      </w:pPr>
      <w:bookmarkStart w:id="40" w:name="_Toc242417920"/>
      <w:bookmarkStart w:id="41" w:name="_Toc239432623"/>
      <w:bookmarkStart w:id="42" w:name="_Toc238606836"/>
      <w:r>
        <w:rPr>
          <w:rFonts w:ascii="Times New Roman" w:hAnsi="Times New Roman" w:eastAsia="黑体"/>
        </w:rPr>
        <w:t>四 预订平台</w:t>
      </w:r>
      <w:bookmarkEnd w:id="40"/>
      <w:bookmarkEnd w:id="41"/>
      <w:bookmarkEnd w:id="42"/>
    </w:p>
    <w:p w14:paraId="5F4975E6">
      <w:pPr>
        <w:rPr>
          <w:rFonts w:hint="eastAsia"/>
        </w:rPr>
      </w:pPr>
      <w:r>
        <w:rPr>
          <w:rFonts w:hint="eastAsia"/>
        </w:rPr>
        <w:t xml:space="preserve">第三方预订平台是使用者了解酒店位置、房型价格和入住规则的重要渠道。页面遗漏服务犬信息、混用宠物规则或与集团政策冲突，会让使用者面临额外致电、重新寻找住宿和调整行程的负担。酒店与平台应主动核对、更正</w:t>
      </w:r>
      <w:r>
        <w:rPr>
          <w:rFonts w:hint="eastAsia"/>
        </w:rPr>
        <w:t xml:space="preserve">这些信息，不让使用者自己去填补</w:t>
      </w:r>
      <w:r>
        <w:rPr>
          <w:rFonts w:hint="eastAsia"/>
        </w:rPr>
        <w:t xml:space="preserve">这些缺口</w:t>
      </w:r>
      <w:r>
        <w:rPr>
          <w:rFonts w:hint="eastAsia"/>
        </w:rPr>
        <w:t xml:space="preserve">。</w:t>
      </w:r>
    </w:p>
    <w:p w14:paraId="350B7214">
      <w:pPr>
        <w:pStyle w:val="5"/>
        <w:rPr>
          <w:rFonts w:hint="eastAsia"/>
        </w:rPr>
      </w:pPr>
      <w:r>
        <w:rPr>
          <w:rFonts w:hint="eastAsia"/>
        </w:rPr>
        <w:t>（一）将服务犬与普通宠物分开标注</w:t>
      </w:r>
    </w:p>
    <w:p>
      <w:pPr>
        <w:rPr/>
      </w:pPr>
      <w:r>
        <w:t xml:space="preserve">截至2026年10月11日的公开信息核查，携程部分门店页面已把“宠物”和“服务型动物”分栏标注，调研工作表也记录过同类标注（见第二章一（二））。但“服务型动物”的范围比导盲犬更宽，页面一般也没有写明证件、费用和房型安排，同一品牌的不同门店仍有允许、禁止和未写明三种情况。</w:t>
      </w:r>
    </w:p>
    <w:p w14:paraId="1C6251EC">
      <w:pPr>
        <w:rPr>
          <w:rFonts w:hint="eastAsia"/>
        </w:rPr>
      </w:pPr>
      <w:r>
        <w:rPr>
          <w:rFonts w:hint="eastAsia"/>
        </w:rPr>
        <w:t xml:space="preserve">平台应在基础“宠物友好/禁止携带宠物”政策之外，单独设立法定服务犬（导盲犬、导听犬、辅助犬）的独立展示模块与数据字段。</w:t>
      </w:r>
      <w:r>
        <w:rPr>
          <w:rFonts w:hint="eastAsia"/>
        </w:rPr>
        <w:t xml:space="preserve">页面上用简单的话写明：可以入住，需要带哪些证件</w:t>
      </w:r>
      <w:r>
        <w:rPr>
          <w:rFonts w:hint="eastAsia"/>
        </w:rPr>
        <w:t xml:space="preserve">（如残疾人证、导盲犬工作证、免疫证明</w:t>
      </w:r>
      <w:r>
        <w:rPr>
          <w:rFonts w:hint="eastAsia"/>
        </w:rPr>
        <w:t xml:space="preserve">），酒店能提供哪些协助。这些要求的依据，由酒店和平台在后台核实清楚，</w:t>
      </w:r>
      <w:r>
        <w:rPr>
          <w:rFonts w:hint="eastAsia"/>
        </w:rPr>
        <w:t xml:space="preserve">集团规则与法定要求分开</w:t>
      </w:r>
      <w:r>
        <w:rPr>
          <w:rFonts w:hint="eastAsia"/>
        </w:rPr>
        <w:t xml:space="preserve">管理</w:t>
      </w:r>
      <w:r>
        <w:rPr>
          <w:rFonts w:hint="eastAsia"/>
        </w:rPr>
        <w:t xml:space="preserve">。</w:t>
      </w:r>
    </w:p>
    <w:p w14:paraId="1A81D91E">
      <w:pPr>
        <w:rPr>
          <w:rFonts w:hint="eastAsia"/>
        </w:rPr>
      </w:pPr>
      <w:r>
        <w:rPr>
          <w:rFonts w:hint="eastAsia"/>
        </w:rPr>
        <w:t>平台页面应严格遵循国家法定术语，不使用“服务型宠物”、“宠物证件”等混淆法定工作犬与一般动物的含混表述；不应在公开规则中使用“以门店最终决定为准”等推诿性字眼作为常规规则展示。</w:t>
      </w:r>
    </w:p>
    <w:p w14:paraId="4B897E26">
      <w:pPr>
        <w:rPr>
          <w:rFonts w:hint="eastAsia"/>
        </w:rPr>
      </w:pPr>
      <w:r>
        <w:rPr>
          <w:rFonts w:hint="eastAsia"/>
        </w:rPr>
        <w:t>平台可为希望提前安排引导等协助的住客提供联系渠道，由住客自主选择是否使用。酒店应具备正常接待能力，不把提前联络或报备作为入住条件；未提前联系的住客，也应依法接待并按需提供协助。</w:t>
      </w:r>
    </w:p>
    <w:p w14:paraId="72596363">
      <w:pPr>
        <w:pStyle w:val="5"/>
        <w:rPr>
          <w:rFonts w:hint="eastAsia"/>
        </w:rPr>
      </w:pPr>
      <w:r>
        <w:rPr>
          <w:rFonts w:hint="eastAsia"/>
        </w:rPr>
        <w:t>（二）同步集团政策，核对页面冲突</w:t>
      </w:r>
    </w:p>
    <w:p w14:paraId="73FF5F2D">
      <w:pPr>
        <w:rPr>
          <w:rFonts w:hint="eastAsia"/>
        </w:rPr>
      </w:pPr>
      <w:r>
        <w:rPr>
          <w:rFonts w:hint="eastAsia"/>
        </w:rPr>
        <w:t>酒店集团出台或更新服务犬政策后，应向预订平台提供标准化、结构化的数据接口；平台应记录政策的更新时间、版本和适用门店，确保与集团官网政策同步更新。</w:t>
      </w:r>
    </w:p>
    <w:p w14:paraId="5B9FEB8F">
      <w:pPr>
        <w:rPr>
          <w:rFonts w:hint="eastAsia"/>
        </w:rPr>
      </w:pPr>
      <w:r>
        <w:rPr>
          <w:rFonts w:hint="eastAsia"/>
        </w:rPr>
        <w:t>当集团政策、品牌规则与门店页面不一致时（例如集团允许但单店标注“禁止宠物”且未设服务犬例外），平台应直接联系酒店核对，明确负责人和处理时限，并及时更正页面。核实期间应如实说明进度；对正在预订或已有订单的使用者，由平台与酒店协调形成明确的接待安排并主动回复。</w:t>
      </w:r>
    </w:p>
    <w:p w14:paraId="4BA05D86">
      <w:pPr>
        <w:pStyle w:val="5"/>
        <w:rPr>
          <w:rFonts w:hint="eastAsia"/>
        </w:rPr>
      </w:pPr>
      <w:r>
        <w:rPr>
          <w:rFonts w:hint="eastAsia"/>
        </w:rPr>
        <w:t>（三）提供筛选功能和错误反馈入口</w:t>
      </w:r>
    </w:p>
    <w:p w14:paraId="1DDB2E4D">
      <w:pPr>
        <w:rPr>
          <w:rFonts w:hint="eastAsia"/>
        </w:rPr>
      </w:pPr>
      <w:r>
        <w:rPr>
          <w:rFonts w:hint="eastAsia"/>
        </w:rPr>
        <w:t>平台可提供服务犬接待信息及合理便利的检索功能，供使用者按需查看。页面应写明依法接待是基本要求，不把它包装成少数酒店的特色服务；未标注的门店同样要履行相应义务，信息的补齐和核实由平台与酒店负责。</w:t>
      </w:r>
    </w:p>
    <w:p w14:paraId="4E1FCD86">
      <w:pPr>
        <w:rPr>
          <w:rFonts w:hint="eastAsia"/>
          <w:bCs/>
        </w:rPr>
      </w:pPr>
      <w:r>
        <w:rPr>
          <w:rFonts w:hint="eastAsia"/>
        </w:rPr>
        <w:t>平台应主动检查页面与酒店接待规则是否一致，并保留便于自愿反馈的入口。收到差异反馈（如线上标注可接待但致电被拒）后，由平台记录并联系酒店核实、更正，在约定时限内主动告知结果，使用者无须重复取证或在平台与门店之间转述。</w:t>
      </w:r>
    </w:p>
    <w:p w14:paraId="28B1DE8B">
      <w:pPr>
        <w:pStyle w:val="4"/>
        <w:rPr>
          <w:rFonts w:hint="eastAsia"/>
        </w:rPr>
      </w:pPr>
      <w:bookmarkStart w:id="43" w:name="_Toc239432624"/>
      <w:bookmarkStart w:id="44" w:name="_Toc238606837"/>
      <w:bookmarkStart w:id="45" w:name="_Toc242417921"/>
      <w:r>
        <w:rPr>
          <w:rFonts w:ascii="Times New Roman" w:hAnsi="Times New Roman" w:eastAsia="黑体"/>
        </w:rPr>
        <w:t>五 公共部门</w:t>
      </w:r>
      <w:bookmarkEnd w:id="43"/>
      <w:bookmarkEnd w:id="44"/>
      <w:bookmarkEnd w:id="45"/>
    </w:p>
    <w:p w14:paraId="25DE3920">
      <w:pPr>
        <w:rPr>
          <w:rFonts w:hint="eastAsia"/>
        </w:rPr>
      </w:pPr>
      <w:r>
        <w:rPr>
          <w:rFonts w:hint="eastAsia"/>
        </w:rPr>
        <w:t xml:space="preserve">导盲犬使用者入住酒店已有明确的法律</w:t>
      </w:r>
      <w:r>
        <w:rPr>
          <w:rFonts w:hint="eastAsia"/>
        </w:rPr>
        <w:t xml:space="preserve">依据，但在</w:t>
      </w:r>
      <w:r>
        <w:rPr>
          <w:rFonts w:hint="eastAsia"/>
        </w:rPr>
        <w:t xml:space="preserve">本次调研期间（2023—2025年），</w:t>
      </w:r>
      <w:r>
        <w:rPr>
          <w:rFonts w:hint="eastAsia"/>
        </w:rPr>
        <w:t xml:space="preserve">押</w:t>
      </w:r>
      <w:r>
        <w:rPr>
          <w:rFonts w:hint="eastAsia"/>
        </w:rPr>
        <w:t xml:space="preserve">金、证件核验、空间调整和其他住客投诉等问题</w:t>
      </w:r>
      <w:r>
        <w:rPr>
          <w:rFonts w:hint="eastAsia"/>
        </w:rPr>
        <w:t xml:space="preserve">仍缺少具体的操作规则</w:t>
      </w:r>
      <w:r>
        <w:rPr>
          <w:rFonts w:hint="eastAsia"/>
        </w:rPr>
        <w:t xml:space="preserve">。2026年8月1日起，推荐性国家标准GB/T 47543—2026已经实施，为酒店无障碍服务提供了国家层面的对照依据（见本章一（一））</w:t>
      </w:r>
      <w:r>
        <w:rPr>
          <w:rFonts w:hint="eastAsia"/>
        </w:rPr>
        <w:t xml:space="preserve">。</w:t>
      </w:r>
      <w:r>
        <w:rPr>
          <w:rFonts w:hint="eastAsia"/>
        </w:rPr>
        <w:t xml:space="preserve">市场监管、文化和旅游、残疾人联合会及司法行政等部门应当立足各自法定职责，细化操作指引和行业评价，</w:t>
      </w:r>
      <w:r>
        <w:rPr>
          <w:rFonts w:hint="eastAsia"/>
        </w:rPr>
        <w:t xml:space="preserve">推动酒店集团的接待规程、员工培训和执行评估与该标准对照衔接，</w:t>
      </w:r>
      <w:r>
        <w:rPr>
          <w:rFonts w:hint="eastAsia"/>
        </w:rPr>
        <w:t xml:space="preserve">并</w:t>
      </w:r>
      <w:r>
        <w:rPr>
          <w:rFonts w:hint="eastAsia"/>
        </w:rPr>
        <w:t xml:space="preserve">让使用者清楚投诉向谁提出、由谁处理。</w:t>
      </w:r>
    </w:p>
    <w:p w14:paraId="16023DF3">
      <w:pPr>
        <w:pStyle w:val="5"/>
        <w:rPr>
          <w:rFonts w:hint="eastAsia"/>
        </w:rPr>
      </w:pPr>
      <w:r>
        <w:rPr>
          <w:rFonts w:hint="eastAsia"/>
        </w:rPr>
        <w:t>（一）细化执法指引，发布典型案例</w:t>
      </w:r>
    </w:p>
    <w:p w14:paraId="5160D33A">
      <w:pPr>
        <w:rPr>
          <w:rFonts w:hint="eastAsia"/>
        </w:rPr>
      </w:pPr>
      <w:r>
        <w:rPr>
          <w:rFonts w:hint="eastAsia"/>
        </w:rPr>
        <w:t>主管部门应针对《无障碍环境建设法》第四十六条第一款的“提供便利”与第二款的“必要防护措施”，出台操作指引，说明以下情形应如何认定、由哪个部门处理、依据哪些规定：把导盲犬当作宠物拒绝入住；没有事实依据加收押金或清洁费；要求签署免责协议；以其他住客可能投诉为由拒绝接待。</w:t>
      </w:r>
    </w:p>
    <w:p w14:paraId="05347A9D">
      <w:pPr>
        <w:rPr>
          <w:rFonts w:hint="eastAsia"/>
        </w:rPr>
      </w:pPr>
      <w:r>
        <w:rPr>
          <w:rFonts w:hint="eastAsia"/>
        </w:rPr>
        <w:t>市场监管与文旅部门应定期联合发布服务犬接待合规指导案例；加强与检察机关无障碍环境建设行政公益诉讼的线索移送与协同机制，通过公开典型案例，帮助经营者了解法律要求。</w:t>
      </w:r>
    </w:p>
    <w:p w14:paraId="000BB542">
      <w:pPr>
        <w:pStyle w:val="5"/>
        <w:rPr>
          <w:rFonts w:hint="eastAsia"/>
        </w:rPr>
      </w:pPr>
      <w:r>
        <w:rPr>
          <w:rFonts w:hint="eastAsia"/>
        </w:rPr>
        <w:t>（二）纳入行业评价和日常监管</w:t>
      </w:r>
    </w:p>
    <w:p w14:paraId="45268CE2">
      <w:pPr>
        <w:rPr>
          <w:rFonts w:hint="eastAsia"/>
        </w:rPr>
      </w:pPr>
      <w:r>
        <w:rPr>
          <w:rFonts w:hint="eastAsia"/>
        </w:rPr>
        <w:t xml:space="preserve">文化和旅游行政部门应将导盲犬等法定服务犬的无障碍接待合规情况，纳入星级饭店评定与动态复核、旅游服务质量等级评定以及绿色饭店评审指标；</w:t>
      </w:r>
      <w:r>
        <w:rPr>
          <w:rFonts w:hint="eastAsia"/>
        </w:rPr>
        <w:t xml:space="preserve">结合推荐性国家标准GB/T 47543—2026的实施，在评定与复核</w:t>
      </w:r>
      <w:r>
        <w:rPr>
          <w:rFonts w:hint="eastAsia"/>
        </w:rPr>
        <w:t xml:space="preserve">中明确设立无障碍接待考评条目，并结合现行评定标准研究相应的扣分办法。</w:t>
      </w:r>
    </w:p>
    <w:p w14:paraId="4257B583">
      <w:pPr>
        <w:rPr>
          <w:rFonts w:hint="eastAsia"/>
        </w:rPr>
      </w:pPr>
      <w:r>
        <w:rPr>
          <w:rFonts w:hint="eastAsia"/>
        </w:rPr>
        <w:t>市场监管部门应结合消费环境建设，将酒店服务犬接待政策与收费规范纳入日常“双随机、一公开”抽查及侵害消费者权益专项整治；12345热线收到服务犬相关投诉后，应及时转交负责的市场监管或文旅部门，由专人联系酒店协调；经核查属实的，责令限期整改，对多次拒绝接待且拒不改正的违法主体依法实施行政处罚，符合规定的，依法记入企业信用记录。</w:t>
      </w:r>
    </w:p>
    <w:p w14:paraId="7A36BCD3">
      <w:pPr>
        <w:pStyle w:val="5"/>
        <w:rPr>
          <w:rFonts w:hint="eastAsia"/>
        </w:rPr>
      </w:pPr>
      <w:r>
        <w:rPr>
          <w:rFonts w:hint="eastAsia"/>
        </w:rPr>
        <w:t>（三）让残障者参与政策制定和效果评估</w:t>
      </w:r>
    </w:p>
    <w:p w14:paraId="65F11241">
      <w:pPr>
        <w:rPr>
          <w:rFonts w:hint="eastAsia"/>
        </w:rPr>
      </w:pPr>
      <w:r>
        <w:rPr>
          <w:rFonts w:hint="eastAsia"/>
        </w:rPr>
        <w:t xml:space="preserve">制定地方性实施细则、行业接待指引、培训考核教材及星级评定标准</w:t>
      </w:r>
      <w:r>
        <w:rPr>
          <w:rFonts w:hint="eastAsia"/>
        </w:rPr>
        <w:t xml:space="preserve">，以及评估GB/T 47543—2026的实施效果</w:t>
      </w:r>
      <w:r>
        <w:rPr>
          <w:rFonts w:hint="eastAsia"/>
        </w:rPr>
        <w:t xml:space="preserve">时</w:t>
      </w:r>
      <w:r>
        <w:rPr>
          <w:rFonts w:hint="eastAsia"/>
        </w:rPr>
        <w:t xml:space="preserve">，邀请视障者、导盲犬使用者代表、残障自组织、酒店从业人员和平台企业参与，并在起草、试用和发布后评估等阶段听取意见。</w:t>
      </w:r>
    </w:p>
    <w:p w14:paraId="655C82A4">
      <w:pPr>
        <w:rPr>
          <w:rFonts w:hint="eastAsia"/>
          <w:bCs/>
        </w:rPr>
      </w:pPr>
      <w:r>
        <w:rPr>
          <w:rFonts w:hint="eastAsia"/>
        </w:rPr>
        <w:t>支持残障组织开展携犬入住的体验测评（本报告即为其中一例），并为持续测评提供资源；测评结果用于检验政策效果和修订标准。</w:t>
      </w:r>
    </w:p>
    <w:p w14:paraId="290CAE03">
      <w:pPr>
        <w:pStyle w:val="4"/>
      </w:pPr>
      <w:bookmarkStart w:id="46" w:name="_Toc239432625"/>
      <w:bookmarkStart w:id="47" w:name="_Toc242417922"/>
      <w:bookmarkStart w:id="48" w:name="_Toc238606838"/>
      <w:r>
        <w:rPr>
          <w:rFonts w:ascii="Times New Roman" w:hAnsi="Times New Roman" w:eastAsia="黑体"/>
        </w:rPr>
        <w:t>六 公众与行业组织</w:t>
      </w:r>
      <w:bookmarkEnd w:id="46"/>
      <w:bookmarkEnd w:id="47"/>
      <w:bookmarkEnd w:id="48"/>
    </w:p>
    <w:p w14:paraId="4E9B459D">
      <w:pPr>
        <w:rPr>
          <w:rFonts w:hint="eastAsia"/>
        </w:rPr>
      </w:pPr>
      <w:r>
        <w:rPr>
          <w:rFonts w:hint="eastAsia"/>
        </w:rPr>
        <w:t>公众的理解会影响导盲犬使用者能否顺利使用公共空间，也会影响酒店怎样处理客诉。公众应了解导盲犬是工作犬，遇到时不干扰；旅游饭店行业组织可以与残障社群一起整理实务经验，为不同规模的酒店提供示范文本和培训材料。</w:t>
      </w:r>
    </w:p>
    <w:p w14:paraId="2AE9B634">
      <w:pPr>
        <w:pStyle w:val="5"/>
        <w:rPr>
          <w:rFonts w:hint="eastAsia"/>
        </w:rPr>
      </w:pPr>
      <w:r>
        <w:rPr>
          <w:rFonts w:hint="eastAsia"/>
        </w:rPr>
        <w:t>（一）了解导盲犬的工作属性，遵守相处原则</w:t>
      </w:r>
    </w:p>
    <w:p w14:paraId="53278F85">
      <w:pPr>
        <w:rPr>
          <w:rFonts w:hint="eastAsia"/>
        </w:rPr>
      </w:pPr>
      <w:r>
        <w:rPr>
          <w:rFonts w:hint="eastAsia"/>
        </w:rPr>
        <w:t xml:space="preserve">导盲犬是协助视障者出行的工作伙伴。</w:t>
      </w:r>
      <w:r>
        <w:rPr>
          <w:rFonts w:hint="eastAsia"/>
        </w:rPr>
        <w:t xml:space="preserve">导盲犬使用者依法享有公共场所的便利服务，不以犬只外表是否可爱或其他住客的喜好为前提</w:t>
      </w:r>
      <w:r>
        <w:rPr>
          <w:rFonts w:hint="eastAsia"/>
        </w:rPr>
        <w:t xml:space="preserve">。</w:t>
      </w:r>
      <w:r>
        <w:rPr>
          <w:rFonts w:hint="eastAsia"/>
        </w:rPr>
        <w:t xml:space="preserve">公众在酒店大堂、餐厅、电梯或公共通道遇到导盲犬时，应尊重使用者的正常活动，避免干扰它的工作。</w:t>
      </w:r>
    </w:p>
    <w:p w14:paraId="62D94ACE">
      <w:pPr>
        <w:rPr>
          <w:rFonts w:hint="eastAsia"/>
        </w:rPr>
      </w:pPr>
      <w:r>
        <w:rPr>
          <w:rFonts w:hint="eastAsia"/>
        </w:rPr>
        <w:t>未获得使用者同意时，公众不应抚摸、喂食、呼唤或逗弄导盲犬，不应强行牵拉工作犬、阻碍其行进路线或分散其注意力。当其他住客确有动物恐惧史、重度过敏反应等实际情况时，可以请酒店调整座位、楼层或行走路线，但不应以个人喜好为由，要求酒店对视障住客及其导盲犬实施驱离、服务降级或歧视性区别对待。</w:t>
      </w:r>
    </w:p>
    <w:p w14:paraId="0776B63B">
      <w:pPr>
        <w:pStyle w:val="5"/>
        <w:rPr>
          <w:rFonts w:hint="eastAsia"/>
        </w:rPr>
      </w:pPr>
      <w:r>
        <w:rPr>
          <w:rFonts w:hint="eastAsia"/>
        </w:rPr>
        <w:t>（二）行业组织提供示范文本，组织共同评估</w:t>
      </w:r>
    </w:p>
    <w:p w14:paraId="77717587">
      <w:pPr>
        <w:rPr>
          <w:rFonts w:hint="eastAsia"/>
        </w:rPr>
      </w:pPr>
      <w:r>
        <w:rPr>
          <w:rFonts w:hint="eastAsia"/>
        </w:rPr>
        <w:t xml:space="preserve">饭店与旅游行业组织（如中国旅游饭店业协会等）应整理现行法律法规</w:t>
      </w:r>
      <w:r>
        <w:rPr>
          <w:rFonts w:hint="eastAsia"/>
        </w:rPr>
        <w:t xml:space="preserve">、推荐性国家标准GB/T 47543—2026</w:t>
      </w:r>
      <w:r>
        <w:rPr>
          <w:rFonts w:hint="eastAsia"/>
        </w:rPr>
        <w:t xml:space="preserve">、</w:t>
      </w:r>
      <w:r>
        <w:rPr>
          <w:rFonts w:hint="eastAsia"/>
        </w:rPr>
        <w:t xml:space="preserve">标杆企业实践与残障社群反馈，编制并推广服务犬接待示范文本、前台培训要点和客诉处理原则，降低单体或中小规模酒店的制度建设成本。示范文本应明确标注文档版本、适用范围与修订周期，并清晰区分“法定强制性底线”与“倡导性优质服务”，便于企业对照执行。</w:t>
      </w:r>
    </w:p>
    <w:p w14:paraId="5086186B">
      <w:pPr>
        <w:rPr>
          <w:rFonts w:hint="eastAsia"/>
        </w:rPr>
      </w:pPr>
      <w:r>
        <w:rPr>
          <w:rFonts w:hint="eastAsia"/>
        </w:rPr>
        <w:t>行业组织开展的服务质量评估与社会监督，应邀请导盲犬使用者及残障组织参与设计和评估，听取他们的意见并反馈采纳情况，同时公开测评方法、样本范围与整改进展。行业组织还应协同主流媒体、预订平台与企业，在日常宣传倡导中统一规范使用“导盲犬/服务犬”法定表述，减少“服务型宠物”等混淆用法。</w:t>
      </w:r>
    </w:p>
    <w:p w14:paraId="44943A96">
      <w:pPr>
        <w:pStyle w:val="3"/>
        <w:pageBreakBefore/>
      </w:pPr>
      <w:bookmarkStart w:id="49" w:name="_Toc242417923"/>
      <w:bookmarkStart w:id="50" w:name="_Toc239432626"/>
      <w:bookmarkStart w:id="51" w:name="_Toc238606842"/>
      <w:r>
        <w:t>附录</w:t>
      </w:r>
      <w:bookmarkEnd w:id="49"/>
      <w:bookmarkEnd w:id="50"/>
    </w:p>
    <w:p w14:paraId="05985720">
      <w:pPr>
        <w:pStyle w:val="4"/>
      </w:pPr>
      <w:bookmarkStart w:id="52" w:name="_Toc242417924"/>
      <w:r>
        <w:t>一 研究方法</w:t>
      </w:r>
      <w:bookmarkEnd w:id="52"/>
    </w:p>
    <w:p w14:paraId="4E9EAECF">
      <w:r>
        <w:t>调查记录调研期间样本门店的电话答复和处理过程。比例、排行和原因分析均对应调研样本，解释结果时需同时考虑各组样本量、调研时间和编码规则。</w:t>
      </w:r>
      <w:r>
        <w:t xml:space="preserve">两个调研阶段覆盖不同城市，社会情境也有变化（见本节（三））。</w:t>
      </w:r>
    </w:p>
    <w:p w14:paraId="38A50A19">
      <w:pPr>
        <w:pStyle w:val="5"/>
      </w:pPr>
      <w:bookmarkStart w:id="53" w:name="_Toc239432615"/>
      <w:r>
        <w:t>（一）调查对象与样本范围</w:t>
      </w:r>
      <w:bookmarkEnd w:id="53"/>
    </w:p>
    <w:p w14:paraId="1EEEA2AF">
      <w:pPr>
        <w:rPr>
          <w:rFonts w:hint="eastAsia"/>
        </w:rPr>
      </w:pPr>
      <w:r>
        <w:rPr>
          <w:rFonts w:hint="eastAsia"/>
        </w:rPr>
        <w:t>研究团队在2023年11月至2024年1月、2025年6月两个阶段，对30座城市、10个经济型与中端连锁酒店品牌开展电话咨询。原始表包含558家有效反馈门店和782次独立通话记录。</w:t>
      </w:r>
    </w:p>
    <w:p w14:paraId="30480FB1">
      <w:r>
        <w:rPr>
          <w:rFonts w:hint="eastAsia"/>
        </w:rPr>
        <w:t>城市候选范围参考“全国文明城市”名单，并结合地理分布、人口规模、商业活跃度、旅游安全和区域覆盖选取30座城市，未采用概率随机抽样。品牌选择参考《2022中国酒店集团及品牌发展报告》第8页的品牌市场占有率，该占有率按2022年1月1日已开业酒店客房数统计。两批城市的划分方式为：</w:t>
      </w:r>
      <w:r>
        <w:rPr>
          <w:rFonts w:hint="eastAsia"/>
          <w:highlight w:val="yellow"/>
        </w:rPr>
        <w:t>【待补充：第一批选择北京、上海、天津、郑州、秦皇岛、青岛、杭州7座城市的原因，以及第二阶段未回访第一批城市的原因】</w:t>
      </w:r>
      <w:r>
        <w:rPr>
          <w:rFonts w:hint="eastAsia"/>
        </w:rPr>
        <w:t>。</w:t>
      </w:r>
    </w:p>
    <w:p w14:paraId="578EB731">
      <w:r>
        <w:rPr>
          <w:rFonts w:hint="eastAsia"/>
        </w:rPr>
        <w:t>本次选择的品牌覆盖经济型与中端连锁酒店，门店分布较广，是跨城住宿时常见的选择。门店数量多、管理层级较长，也适合观察集团政策怎样通过平台、客服等渠道传达，以及怎样在门店执行。</w:t>
      </w:r>
    </w:p>
    <w:p w14:paraId="2FB2DD16">
      <w:pPr>
        <w:keepNext w:val="0"/>
        <w:spacing w:after="78"/>
      </w:pPr>
      <w:r>
        <w:rPr>
          <w:rFonts w:hint="eastAsia" w:ascii="Times New Roman" w:hAnsi="Times New Roman" w:cs="Times New Roman"/>
          <w:color w:val="000000"/>
          <w:sz w:val="22"/>
        </w:rPr>
        <w:t>原始数据的品牌字段将</w:t>
      </w:r>
      <w:r>
        <w:rPr>
          <w:rFonts w:ascii="Times New Roman" w:hAnsi="Times New Roman" w:cs="Times New Roman"/>
          <w:color w:val="000000"/>
          <w:sz w:val="22"/>
        </w:rPr>
        <w:t>47</w:t>
      </w:r>
      <w:r>
        <w:rPr>
          <w:rFonts w:hint="eastAsia" w:ascii="Times New Roman" w:hAnsi="Times New Roman" w:cs="Times New Roman"/>
          <w:color w:val="000000"/>
          <w:sz w:val="22"/>
        </w:rPr>
        <w:t>家相关门店统一记为“尚客优选”，门店名称包括尚客优、尚客优精选、尚客优悦和尚客优品。图表和品牌比较沿用“尚客优选”这一统计组名称，案例保留具体门店名称；该组的结果对应合并后的</w:t>
      </w:r>
      <w:r>
        <w:rPr>
          <w:rFonts w:ascii="Times New Roman" w:hAnsi="Times New Roman" w:cs="Times New Roman"/>
          <w:color w:val="000000"/>
          <w:sz w:val="22"/>
        </w:rPr>
        <w:t>47</w:t>
      </w:r>
      <w:r>
        <w:rPr>
          <w:rFonts w:hint="eastAsia" w:ascii="Times New Roman" w:hAnsi="Times New Roman" w:cs="Times New Roman"/>
          <w:color w:val="000000"/>
          <w:sz w:val="22"/>
        </w:rPr>
        <w:t>家样本。</w:t>
      </w:r>
    </w:p>
    <w:p w14:paraId="1916ADFE">
      <w:pPr>
        <w:keepNext/>
        <w:spacing w:after="40"/>
        <w:jc w:val="center"/>
      </w:pPr>
      <w:r>
        <w:drawing>
          <wp:inline distT="0" distB="0" distL="0" distR="0">
            <wp:extent cx="5029200" cy="3576320"/>
            <wp:effectExtent l="0" t="0" r="0" b="0"/>
            <wp:docPr id="27" name="Picture 27" descr="按市场占有率从高到低排列的横向条形图：维也纳7.11%、汉庭5.81%、如家3.88%、格林豪泰3.79%、全季3.53%、7天3.49%、锦江之星2.43%、城市便捷2.17%、尚客优选1.92%、麗枫1.90%。" title="按市场占有率从高到低排列的横向条形图：维也纳7.11%、汉庭5.81%、如家3.88%、格林豪泰3.79%、全季3.53%、7天3.49%、锦江之星2.43%、城市便捷2.17%、尚客优选1.92%、麗枫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按市场占有率从高到低排列的横向条形图：维也纳7.11%、汉庭5.81%、如家3.88%、格林豪泰3.79%、全季3.53%、7天3.49%、锦江之星2.43%、城市便捷2.17%、尚客优选1.92%、麗枫1.90%。" title="按市场占有率从高到低排列的横向条形图：维也纳7.11%、汉庭5.81%、如家3.88%、格林豪泰3.79%、全季3.53%、7天3.49%、锦江之星2.43%、城市便捷2.17%、尚客优选1.92%、麗枫1.90%。"/>
                    <pic:cNvPicPr>
                      <a:picLocks noChangeAspect="1"/>
                    </pic:cNvPicPr>
                  </pic:nvPicPr>
                  <pic:blipFill>
                    <a:blip r:embed="rId17"/>
                    <a:stretch>
                      <a:fillRect/>
                    </a:stretch>
                  </pic:blipFill>
                  <pic:spPr>
                    <a:xfrm>
                      <a:off x="0" y="0"/>
                      <a:ext cx="5029200" cy="3576320"/>
                    </a:xfrm>
                    <a:prstGeom prst="rect">
                      <a:avLst/>
                    </a:prstGeom>
                  </pic:spPr>
                </pic:pic>
              </a:graphicData>
            </a:graphic>
          </wp:inline>
        </w:drawing>
      </w:r>
    </w:p>
    <w:p w14:paraId="161D9EED">
      <w:pPr>
        <w:pStyle w:val="174"/>
      </w:pPr>
      <w:r>
        <w:rPr>
          <w:rFonts w:hint="eastAsia"/>
        </w:rPr>
        <w:t>图10　入选酒店品牌的行业市场占有率（2022年1月1日已开业客房规模，10个品牌）</w:t>
      </w:r>
    </w:p>
    <w:p w14:paraId="09669FAD">
      <w:r>
        <w:t>门店选择参考携程旅行平台的“欢迎度排序”，原则上覆盖各城市目标品牌中排名前两位的门店；特定品牌不足两家时按实际存量纳入。因此，各品牌样本量为47—60家，各城市样本量为15—20家。样本偏向平台上较受欢迎的门店，这类门店可能位置较好、管理较规范，结果可能高于同品牌门店的一般水平。</w:t>
      </w:r>
    </w:p>
    <w:p w14:paraId="41085E74">
      <w:pPr>
        <w:pStyle w:val="174"/>
      </w:pPr>
      <w:r>
        <w:t xml:space="preserve">表</w:t>
      </w:r>
      <w:r>
        <w:t xml:space="preserve">4</w:t>
      </w:r>
      <w:r>
        <w:t xml:space="preserve">　调研样本与电话沟通口径</w:t>
      </w:r>
    </w:p>
    <w:tbl>
      <w:tblPr>
        <w:tblStyle w:val="39"/>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814"/>
        <w:gridCol w:w="2835"/>
        <w:gridCol w:w="3969"/>
      </w:tblGrid>
      <w:tr w14:paraId="452D1B7A">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814" w:type="dxa"/>
            <w:shd w:val="clear" w:color="auto" w:fill="DDE6F0"/>
            <w:vAlign w:val="center"/>
          </w:tcPr>
          <w:p w14:paraId="791C613A">
            <w:pPr>
              <w:keepNext/>
              <w:spacing w:after="0"/>
              <w:ind w:firstLine="0"/>
              <w:jc w:val="center"/>
            </w:pPr>
            <w:r>
              <w:rPr>
                <w:rFonts w:ascii="微软雅黑" w:hAnsi="微软雅黑" w:eastAsia="微软雅黑"/>
                <w:b/>
                <w:color w:val="263238"/>
                <w:sz w:val="16"/>
              </w:rPr>
              <w:t>项目</w:t>
            </w:r>
          </w:p>
        </w:tc>
        <w:tc>
          <w:tcPr>
            <w:tcW w:w="2835" w:type="dxa"/>
            <w:shd w:val="clear" w:color="auto" w:fill="DDE6F0"/>
            <w:vAlign w:val="center"/>
          </w:tcPr>
          <w:p w14:paraId="50CAED26">
            <w:pPr>
              <w:keepNext/>
              <w:spacing w:after="0"/>
              <w:ind w:firstLine="0"/>
              <w:jc w:val="center"/>
            </w:pPr>
            <w:r>
              <w:rPr>
                <w:rFonts w:ascii="微软雅黑" w:hAnsi="微软雅黑" w:eastAsia="微软雅黑"/>
                <w:b/>
                <w:color w:val="263238"/>
                <w:sz w:val="16"/>
              </w:rPr>
              <w:t>数量或范围</w:t>
            </w:r>
          </w:p>
        </w:tc>
        <w:tc>
          <w:tcPr>
            <w:tcW w:w="3969" w:type="dxa"/>
            <w:shd w:val="clear" w:color="auto" w:fill="DDE6F0"/>
            <w:vAlign w:val="center"/>
          </w:tcPr>
          <w:p w14:paraId="13F8A70B">
            <w:pPr>
              <w:keepNext/>
              <w:spacing w:after="0"/>
              <w:ind w:firstLine="0"/>
              <w:jc w:val="center"/>
            </w:pPr>
            <w:r>
              <w:rPr>
                <w:rFonts w:ascii="微软雅黑" w:hAnsi="微软雅黑" w:eastAsia="微软雅黑"/>
                <w:b/>
                <w:color w:val="263238"/>
                <w:sz w:val="16"/>
              </w:rPr>
              <w:t>统计用途</w:t>
            </w:r>
          </w:p>
        </w:tc>
      </w:tr>
      <w:tr w14:paraId="4D63EAC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6E83DFEC">
            <w:pPr>
              <w:spacing w:after="0"/>
              <w:ind w:firstLine="0"/>
              <w:jc w:val="center"/>
            </w:pPr>
            <w:r>
              <w:rPr>
                <w:rFonts w:ascii="微软雅黑" w:hAnsi="微软雅黑" w:eastAsia="微软雅黑"/>
                <w:color w:val="263238"/>
                <w:sz w:val="16"/>
              </w:rPr>
              <w:t>研究范围</w:t>
            </w:r>
          </w:p>
        </w:tc>
        <w:tc>
          <w:tcPr>
            <w:tcW w:w="2835" w:type="dxa"/>
            <w:vAlign w:val="center"/>
          </w:tcPr>
          <w:p w14:paraId="5432614F">
            <w:pPr>
              <w:spacing w:after="0"/>
              <w:ind w:firstLine="0"/>
              <w:jc w:val="center"/>
            </w:pPr>
            <w:r>
              <w:rPr>
                <w:rFonts w:ascii="微软雅黑" w:hAnsi="微软雅黑" w:eastAsia="微软雅黑"/>
                <w:color w:val="263238"/>
                <w:sz w:val="16"/>
              </w:rPr>
              <w:t>30座城市；10个品牌</w:t>
            </w:r>
          </w:p>
        </w:tc>
        <w:tc>
          <w:tcPr>
            <w:tcW w:w="3969" w:type="dxa"/>
            <w:vAlign w:val="center"/>
          </w:tcPr>
          <w:p w14:paraId="2BCC0837">
            <w:pPr>
              <w:ind w:firstLine="0"/>
            </w:pPr>
            <w:r>
              <w:t>用于城市与品牌分组比较，分项均标注样本门店数n</w:t>
            </w:r>
          </w:p>
        </w:tc>
      </w:tr>
      <w:tr w14:paraId="5799407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0D32314E">
            <w:pPr>
              <w:spacing w:after="0"/>
              <w:ind w:firstLine="0"/>
              <w:jc w:val="center"/>
            </w:pPr>
            <w:r>
              <w:rPr>
                <w:rFonts w:ascii="微软雅黑" w:hAnsi="微软雅黑" w:eastAsia="微软雅黑"/>
                <w:color w:val="263238"/>
                <w:sz w:val="16"/>
              </w:rPr>
              <w:t>有效记录</w:t>
            </w:r>
          </w:p>
        </w:tc>
        <w:tc>
          <w:tcPr>
            <w:tcW w:w="2835" w:type="dxa"/>
            <w:vAlign w:val="center"/>
          </w:tcPr>
          <w:p w14:paraId="599A377B">
            <w:pPr>
              <w:spacing w:after="0"/>
              <w:ind w:firstLine="0"/>
              <w:jc w:val="center"/>
            </w:pPr>
            <w:r>
              <w:rPr>
                <w:rFonts w:ascii="微软雅黑" w:hAnsi="微软雅黑" w:eastAsia="微软雅黑"/>
                <w:color w:val="263238"/>
                <w:sz w:val="16"/>
              </w:rPr>
              <w:t>558家门店；782次独立通话</w:t>
            </w:r>
          </w:p>
        </w:tc>
        <w:tc>
          <w:tcPr>
            <w:tcW w:w="3969" w:type="dxa"/>
            <w:vAlign w:val="center"/>
          </w:tcPr>
          <w:p w14:paraId="0C4F41BA">
            <w:pPr>
              <w:spacing w:after="0"/>
              <w:ind w:firstLine="0"/>
              <w:jc w:val="center"/>
            </w:pPr>
            <w:r>
              <w:rPr>
                <w:rFonts w:ascii="微软雅黑" w:hAnsi="微软雅黑" w:eastAsia="微软雅黑"/>
                <w:color w:val="263238"/>
                <w:sz w:val="16"/>
              </w:rPr>
              <w:t>门店数为总体比例分母；通话数用于沟通负担指标</w:t>
            </w:r>
          </w:p>
        </w:tc>
      </w:tr>
      <w:tr w14:paraId="19D19A4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2D4A91B6">
            <w:pPr>
              <w:spacing w:after="0"/>
              <w:ind w:firstLine="0"/>
              <w:jc w:val="center"/>
            </w:pPr>
            <w:r>
              <w:rPr>
                <w:rFonts w:ascii="微软雅黑" w:hAnsi="微软雅黑" w:eastAsia="微软雅黑"/>
                <w:color w:val="263238"/>
                <w:sz w:val="16"/>
              </w:rPr>
              <w:t>咨询者身份</w:t>
            </w:r>
          </w:p>
        </w:tc>
        <w:tc>
          <w:tcPr>
            <w:tcW w:w="2835" w:type="dxa"/>
            <w:vAlign w:val="center"/>
          </w:tcPr>
          <w:p w14:paraId="20C4B85A">
            <w:pPr>
              <w:spacing w:after="0"/>
              <w:ind w:firstLine="0"/>
              <w:jc w:val="center"/>
            </w:pPr>
            <w:r>
              <w:rPr>
                <w:rFonts w:ascii="微软雅黑" w:hAnsi="微软雅黑" w:eastAsia="微软雅黑"/>
                <w:color w:val="263238"/>
                <w:sz w:val="16"/>
              </w:rPr>
              <w:t>以导盲犬使用者本人身份咨询的门店428家；以使用者亲友身份代为咨询的门店130家</w:t>
            </w:r>
          </w:p>
        </w:tc>
        <w:tc>
          <w:tcPr>
            <w:tcW w:w="3969" w:type="dxa"/>
            <w:vAlign w:val="center"/>
          </w:tcPr>
          <w:p w14:paraId="35E1283E">
            <w:pPr>
              <w:spacing w:after="0"/>
              <w:ind w:firstLine="0"/>
              <w:jc w:val="center"/>
            </w:pPr>
            <w:r>
              <w:rPr>
                <w:rFonts w:ascii="微软雅黑" w:hAnsi="微软雅黑" w:eastAsia="微软雅黑"/>
                <w:color w:val="263238"/>
                <w:sz w:val="16"/>
              </w:rPr>
              <w:t>用于说明情境，不混入结果指标；本报告未按身份拆分结果（见附录七）</w:t>
            </w:r>
          </w:p>
        </w:tc>
      </w:tr>
      <w:tr w14:paraId="4590B1B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19197CA1">
            <w:pPr>
              <w:spacing w:after="0"/>
              <w:ind w:firstLine="0"/>
              <w:jc w:val="center"/>
            </w:pPr>
            <w:r>
              <w:rPr>
                <w:rFonts w:ascii="微软雅黑" w:hAnsi="微软雅黑" w:eastAsia="微软雅黑"/>
                <w:color w:val="263238"/>
                <w:sz w:val="16"/>
              </w:rPr>
              <w:t>最终答复方</w:t>
            </w:r>
          </w:p>
        </w:tc>
        <w:tc>
          <w:tcPr>
            <w:tcW w:w="2835" w:type="dxa"/>
            <w:vAlign w:val="center"/>
          </w:tcPr>
          <w:p w14:paraId="01CEDB3F">
            <w:pPr>
              <w:spacing w:after="0"/>
              <w:ind w:firstLine="0"/>
              <w:jc w:val="center"/>
            </w:pPr>
            <w:r>
              <w:rPr>
                <w:rFonts w:ascii="微软雅黑" w:hAnsi="微软雅黑" w:eastAsia="微软雅黑"/>
                <w:color w:val="263238"/>
                <w:sz w:val="16"/>
              </w:rPr>
              <w:t>前台461家；管理人员97家</w:t>
            </w:r>
          </w:p>
        </w:tc>
        <w:tc>
          <w:tcPr>
            <w:tcW w:w="3969" w:type="dxa"/>
            <w:vAlign w:val="center"/>
          </w:tcPr>
          <w:p w14:paraId="77BDC08C">
            <w:pPr>
              <w:spacing w:after="0"/>
              <w:ind w:firstLine="0"/>
              <w:jc w:val="center"/>
            </w:pPr>
            <w:r>
              <w:rPr>
                <w:rFonts w:ascii="微软雅黑" w:hAnsi="微软雅黑" w:eastAsia="微软雅黑"/>
                <w:color w:val="263238"/>
                <w:sz w:val="16"/>
              </w:rPr>
              <w:t>观察内部上报处理，不等同于实际决策人</w:t>
            </w:r>
          </w:p>
        </w:tc>
      </w:tr>
    </w:tbl>
    <w:p w14:paraId="5AFDEDBA">
      <w:pPr>
        <w:pStyle w:val="175"/>
      </w:pPr>
      <w:r>
        <w:t>注：“进一步沟通”与“独立通话次数”是两个不同字段，答复结果与电话往返次数分别统计。</w:t>
      </w:r>
    </w:p>
    <w:p w14:paraId="5A95E045">
      <w:pPr>
        <w:pStyle w:val="5"/>
      </w:pPr>
      <w:bookmarkStart w:id="54" w:name="_Toc239432616"/>
      <w:r>
        <w:t>（二）电话调研方法</w:t>
      </w:r>
      <w:bookmarkEnd w:id="54"/>
    </w:p>
    <w:p w14:paraId="42C99FE4">
      <w:pPr>
        <w:rPr>
          <w:lang w:eastAsia="zh-CN"/>
        </w:rPr>
      </w:pPr>
      <w:r>
        <w:rPr>
          <w:rFonts w:hint="eastAsia"/>
        </w:rPr>
        <w:t>电话咨询由研究团队成员以导盲犬使用者本人或亲友的身份进行。现存895段通话录音来自吴凡、李娜、柳嘉慜三名成员：吴凡、李娜是团队中的视障伙伴，在电话中以携带导盲犬入住的住客身份咨询，柳嘉慜以帮视障朋友预订的身份咨询。团队成员中有导盲犬使用者，但调查通话用于了解门店答复，不对应真实订单或实际入住；成员自身的住宿经历另作为经验材料使用（见本节（四））。在第一轮沟通中，咨询者介绍基本出行需求，并明确询问携带导盲犬是否可以入住，尽可能保留酒店前台接线人员在缺少额外提示时的自然反应，从而观察</w:t>
      </w:r>
      <w:r>
        <w:rPr>
          <w:rFonts w:hint="eastAsia"/>
          <w:lang w:eastAsia="zh-CN"/>
        </w:rPr>
        <w:t>：</w:t>
      </w:r>
    </w:p>
    <w:p w14:paraId="4C07CC16">
      <w:pPr>
        <w:pStyle w:val="16"/>
        <w:rPr>
          <w:lang w:eastAsia="zh-CN"/>
        </w:rPr>
      </w:pPr>
      <w:r>
        <w:rPr>
          <w:rFonts w:hint="eastAsia"/>
        </w:rPr>
        <w:t>一线工作人员是否了解导盲犬的身份属性</w:t>
      </w:r>
      <w:r>
        <w:rPr>
          <w:rFonts w:hint="eastAsia"/>
          <w:lang w:eastAsia="zh-CN"/>
        </w:rPr>
        <w:t>；</w:t>
      </w:r>
    </w:p>
    <w:p w14:paraId="622D5529">
      <w:pPr>
        <w:pStyle w:val="16"/>
      </w:pPr>
      <w:r>
        <w:rPr>
          <w:rFonts w:hint="eastAsia"/>
          <w:lang w:eastAsia="zh-CN"/>
        </w:rPr>
        <w:t>一线工作人员</w:t>
      </w:r>
      <w:r>
        <w:rPr>
          <w:rFonts w:hint="eastAsia"/>
        </w:rPr>
        <w:t>能否直接依据既有政策作出答复</w:t>
      </w:r>
      <w:r>
        <w:rPr>
          <w:rFonts w:hint="eastAsia"/>
          <w:lang w:eastAsia="zh-CN"/>
        </w:rPr>
        <w:t>；</w:t>
      </w:r>
    </w:p>
    <w:p w14:paraId="0028F8B0">
      <w:pPr>
        <w:pStyle w:val="16"/>
      </w:pPr>
      <w:r>
        <w:rPr>
          <w:rFonts w:hint="eastAsia"/>
          <w:lang w:eastAsia="zh-CN"/>
        </w:rPr>
        <w:t>一线工作人员</w:t>
      </w:r>
      <w:r>
        <w:rPr>
          <w:rFonts w:hint="eastAsia"/>
        </w:rPr>
        <w:t>是否需要向上级请示。</w:t>
      </w:r>
    </w:p>
    <w:p w14:paraId="75D526FC">
      <w:pPr>
        <w:rPr>
          <w:lang w:eastAsia="zh-CN"/>
        </w:rPr>
      </w:pPr>
      <w:r>
        <w:rPr>
          <w:rFonts w:hint="eastAsia"/>
          <w:lang w:eastAsia="zh-CN"/>
        </w:rPr>
        <w:t>本报告中，“第一轮沟通”指咨询者介绍出行需求并询问能否携带导盲犬入住、尚未补充解释导盲犬属性或法律依据的阶段；门店在这一阶段给出的首个明确答复，记为“直接同意”或“直接拒绝”。此后的解释、追问和内部请示统称“进一步沟通”，它可能发生在同一通电话内，也可能另行致电，因此与“独立通话次数”分别统计。</w:t>
      </w:r>
    </w:p>
    <w:p w14:paraId="3ED935E7">
      <w:pPr/>
      <w:r>
        <w:rPr>
          <w:rFonts w:hint="eastAsia"/>
        </w:rPr>
        <w:t>当酒店前台明确表示拒绝或无法作出明确答复时，咨询者会主动澄清导盲犬的属性及相关法律政策依据；必要时，请求与经理、主管或店长等管理人员沟通。</w:t>
      </w:r>
    </w:p>
    <w:p w14:paraId="2DF5C114">
      <w:pPr/>
      <w:r>
        <w:rPr>
          <w:rFonts w:hint="eastAsia"/>
        </w:rPr>
        <w:t>第二轮沟通（可能在同一通电话内，也可能另行致电）中，如果酒店方仍然拒绝入住，咨询者会继续询问并回应酒店拒绝的具体理由和担忧；必要时，直接请求与能够作出最终决定的管理人员沟通。</w:t>
      </w:r>
    </w:p>
    <w:p w14:paraId="47FCDC2E">
      <w:pPr/>
      <w:r>
        <w:rPr>
          <w:rFonts w:hint="eastAsia"/>
        </w:rPr>
        <w:t>对于经过第二轮沟通后仍无法形成明确答复、或需要继续向内部请示的门店，团队成员会根据实际情况继续进行第三轮及后续电话联系，最终确认门店对导盲犬入住的答复及其说明的接待规则。</w:t>
      </w:r>
    </w:p>
    <w:p w14:paraId="4A97A83A">
      <w:r>
        <w:rPr>
          <w:rFonts w:hint="eastAsia"/>
        </w:rPr>
        <w:t>电话调研还记录了最终答复者的身份。咨询者通常先接触前台，但遇到导盲犬能否入住、需要提供哪些证件等问题时，部分门店会转由经理或店长确认。记录最终答复岗位，有助于观察内部确认过程，以及咨询者需要联系多少人员才能得到明确答复。</w:t>
      </w:r>
    </w:p>
    <w:p w14:paraId="371D98E8">
      <w:r>
        <w:t>一般住客通常不需要在入住前反复致电确认，更少需要转接前台以外的工作人员才能获得明确答复。558家有效反馈门店中，461家由前台工作人员直接回复，占82.6%；97家转接至值班经理、主管或店长等管理人员后回复，占17.4%。</w:t>
      </w:r>
    </w:p>
    <w:p w14:paraId="105B0212">
      <w:r>
        <w:rPr>
          <w:rFonts w:hint="eastAsia"/>
        </w:rPr>
        <w:t>即使由前台直接回复，部分前台也可能先在内部询问店长或上级，再向咨询者反馈结果。按原始数据中的独立通话次数统计，187家门店需要2次及以上独立通话，占33.5%；另有225家门店的答复结果被记录为“沟通后同意”或“沟通后拒绝”，占40.3%。两项指标口径不同：前者记录独立通话次数，后者还可能包含同一次电话内的解释、等待或内部询问。咨询者能否获得清晰、稳定的答复，不仅取决于酒店是否愿意接纳，也取决于相关政策是否传达到一线岗位、门店是否形成可执行的服务流程。</w:t>
      </w:r>
    </w:p>
    <w:p w14:paraId="0335358F">
      <w:pPr>
        <w:rPr>
          <w:lang w:eastAsia="zh-CN"/>
        </w:rPr>
      </w:pPr>
      <w:r>
        <w:rPr>
          <w:rFonts w:hint="eastAsia"/>
          <w:lang w:eastAsia="zh-CN"/>
        </w:rPr>
        <w:t>研究伦理：调查采用模拟入住咨询，通话不对应真实订单。报告不公开任何接线员或管理人员的姓名；正文提及的具体门店案例仅用于说明接待流程和答复方式。通话录音为调查员拨打和接听电话时的录音文件，共895段（约23小时20分钟），按调查员分别存放在项目电脑中；机器转写使用本地语音识别模型完成，未上传音频。</w:t>
      </w:r>
    </w:p>
    <w:p w14:paraId="0E6B3260">
      <w:pPr>
        <w:pStyle w:val="5"/>
      </w:pPr>
      <w:bookmarkStart w:id="55" w:name="_Toc239432617"/>
      <w:r>
        <w:t>（三）调研时间与社会情境</w:t>
      </w:r>
      <w:bookmarkEnd w:id="55"/>
    </w:p>
    <w:p w14:paraId="41784B71">
      <w:r>
        <w:t xml:space="preserve">本次调研分两个阶段开展，两阶段相隔约17个月，结果呈现明显差异。第一阶段调研开展于2023年11月至2024年1月，主要覆盖北京、上海、天津、郑州、秦皇岛、青岛、杭州7个城市，当时距《无障碍环境建设法》施行约两至四个月。第二阶段调研于2025年6月展开，主要涵盖其余23个城市。录音显示，城市与批次并非完全对应：杭州有6家门店（城市便捷、尚客优选、麗枫各2家）在2025年6月12日致电，长治有6家门店在2024年1月4日致电；每家门店只在一个阶段致电。表</w:t>
      </w:r>
      <w:r>
        <w:t xml:space="preserve">5</w:t>
      </w:r>
      <w:r>
        <w:t xml:space="preserve">按各门店通话录音的日期划分批次。</w:t>
      </w:r>
    </w:p>
    <w:p w14:paraId="3EF2FB3A">
      <w:r>
        <w:t xml:space="preserve">第二阶段调研前，2025年5月初，视障博主“诺子喵呜”发布视频，讲述携带导盲犬入住深圳一家全季酒店遭拒，引发社会舆论；华住会客服随后回应称涉事门店违反了品牌规定（见快科技2025年5月6日报道）。</w:t>
      </w:r>
      <w:r>
        <w:t xml:space="preserve">这一事件构成第二阶段调研的社会背景</w:t>
      </w:r>
      <w:r>
        <w:t xml:space="preserve">，但它是否</w:t>
      </w:r>
      <w:r>
        <w:t xml:space="preserve">影响了门店在电话咨询中的回应，本次调查无法判断。本次样本中，华住旗下汉庭、全季位列品牌前两位；由于本报告未列示各品牌在两批中的门店分布，也没有同一批门店在事件前后的对照，这一排名与事件</w:t>
      </w:r>
      <w:r>
        <w:t xml:space="preserve">的关系同样无法确定</w:t>
      </w:r>
      <w:r>
        <w:t xml:space="preserve">。</w:t>
      </w:r>
    </w:p>
    <w:p w14:paraId="0A9CBD5C">
      <w:r>
        <w:t xml:space="preserve">两批</w:t>
      </w:r>
      <w:r>
        <w:t xml:space="preserve">调查</w:t>
      </w:r>
      <w:r>
        <w:t xml:space="preserve">覆盖不同城市，第二批</w:t>
      </w:r>
      <w:r>
        <w:t xml:space="preserve">在相关事件引发公众讨论之后</w:t>
      </w:r>
      <w:r>
        <w:t xml:space="preserve">，</w:t>
      </w:r>
      <w:r>
        <w:t xml:space="preserve">属于两个横截面样本</w:t>
      </w:r>
      <w:r>
        <w:t xml:space="preserve">；</w:t>
      </w:r>
      <w:r>
        <w:t xml:space="preserve">两批结果的差异可能与城市构成、品牌门店分布及社会情境有关，不能作同一批门店的事件前后比较。</w:t>
      </w:r>
    </w:p>
    <w:p w14:paraId="3A192B5E">
      <w:pPr>
        <w:pStyle w:val="174"/>
      </w:pPr>
      <w:r>
        <w:t xml:space="preserve">表</w:t>
      </w:r>
      <w:r>
        <w:t xml:space="preserve">5</w:t>
      </w:r>
      <w:r>
        <w:t xml:space="preserve">　两批城市样本与主要结果</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2522"/>
        <w:gridCol w:w="965"/>
        <w:gridCol w:w="1127"/>
        <w:gridCol w:w="1127"/>
        <w:gridCol w:w="1235"/>
        <w:gridCol w:w="1235"/>
      </w:tblGrid>
      <w:tr w14:paraId="1E6C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26" w:type="pct"/>
            <w:shd w:val="clear" w:color="auto" w:fill="DDEBF7"/>
            <w:tcMar>
              <w:top w:w="90" w:type="dxa"/>
              <w:left w:w="110" w:type="dxa"/>
              <w:bottom w:w="90" w:type="dxa"/>
              <w:right w:w="110" w:type="dxa"/>
            </w:tcMar>
            <w:vAlign w:val="center"/>
          </w:tcPr>
          <w:p w14:paraId="72A190C8">
            <w:pPr>
              <w:keepNext/>
              <w:spacing w:before="0" w:after="0" w:line="269" w:lineRule="auto"/>
              <w:ind w:firstLine="0"/>
            </w:pPr>
            <w:r>
              <w:rPr>
                <w:b/>
                <w:color w:val="17365D"/>
                <w:sz w:val="15"/>
              </w:rPr>
              <w:t>批次</w:t>
            </w:r>
          </w:p>
        </w:tc>
        <w:tc>
          <w:tcPr>
            <w:tcW w:w="1374" w:type="pct"/>
            <w:shd w:val="clear" w:color="auto" w:fill="DDEBF7"/>
            <w:tcMar>
              <w:top w:w="90" w:type="dxa"/>
              <w:left w:w="110" w:type="dxa"/>
              <w:bottom w:w="90" w:type="dxa"/>
              <w:right w:w="110" w:type="dxa"/>
            </w:tcMar>
            <w:vAlign w:val="center"/>
          </w:tcPr>
          <w:p w14:paraId="3B3C4E7B">
            <w:pPr>
              <w:keepNext/>
              <w:spacing w:before="0" w:after="0" w:line="269" w:lineRule="auto"/>
              <w:ind w:firstLine="0"/>
            </w:pPr>
            <w:r>
              <w:rPr>
                <w:b/>
                <w:color w:val="17365D"/>
                <w:sz w:val="15"/>
              </w:rPr>
              <w:t>时间与城市</w:t>
            </w:r>
          </w:p>
        </w:tc>
        <w:tc>
          <w:tcPr>
            <w:tcW w:w="526" w:type="pct"/>
            <w:shd w:val="clear" w:color="auto" w:fill="DDEBF7"/>
            <w:tcMar>
              <w:top w:w="90" w:type="dxa"/>
              <w:left w:w="110" w:type="dxa"/>
              <w:bottom w:w="90" w:type="dxa"/>
              <w:right w:w="110" w:type="dxa"/>
            </w:tcMar>
            <w:vAlign w:val="center"/>
          </w:tcPr>
          <w:p w14:paraId="139B880C">
            <w:pPr>
              <w:keepNext/>
              <w:spacing w:before="0" w:after="0" w:line="269" w:lineRule="auto"/>
              <w:ind w:firstLine="0"/>
            </w:pPr>
            <w:r>
              <w:rPr>
                <w:b/>
                <w:color w:val="17365D"/>
                <w:sz w:val="15"/>
              </w:rPr>
              <w:t>有效样本</w:t>
            </w:r>
          </w:p>
        </w:tc>
        <w:tc>
          <w:tcPr>
            <w:tcW w:w="614" w:type="pct"/>
            <w:shd w:val="clear" w:color="auto" w:fill="DDEBF7"/>
            <w:tcMar>
              <w:top w:w="90" w:type="dxa"/>
              <w:left w:w="110" w:type="dxa"/>
              <w:bottom w:w="90" w:type="dxa"/>
              <w:right w:w="110" w:type="dxa"/>
            </w:tcMar>
            <w:vAlign w:val="center"/>
          </w:tcPr>
          <w:p w14:paraId="50BEF326">
            <w:pPr>
              <w:keepNext/>
              <w:spacing w:before="0" w:after="0" w:line="269" w:lineRule="auto"/>
              <w:ind w:firstLine="0"/>
            </w:pPr>
            <w:r>
              <w:rPr>
                <w:b/>
                <w:color w:val="17365D"/>
                <w:sz w:val="15"/>
              </w:rPr>
              <w:t>直接同意</w:t>
            </w:r>
          </w:p>
        </w:tc>
        <w:tc>
          <w:tcPr>
            <w:tcW w:w="614" w:type="pct"/>
            <w:shd w:val="clear" w:color="auto" w:fill="DDEBF7"/>
            <w:tcMar>
              <w:top w:w="90" w:type="dxa"/>
              <w:left w:w="110" w:type="dxa"/>
              <w:bottom w:w="90" w:type="dxa"/>
              <w:right w:w="110" w:type="dxa"/>
            </w:tcMar>
            <w:vAlign w:val="center"/>
          </w:tcPr>
          <w:p w14:paraId="4882DAE3">
            <w:pPr>
              <w:keepNext/>
              <w:spacing w:before="0" w:after="0" w:line="269" w:lineRule="auto"/>
              <w:ind w:firstLine="0"/>
            </w:pPr>
            <w:r>
              <w:rPr>
                <w:b/>
                <w:color w:val="17365D"/>
                <w:sz w:val="15"/>
              </w:rPr>
              <w:t>最终接纳</w:t>
            </w:r>
          </w:p>
        </w:tc>
        <w:tc>
          <w:tcPr>
            <w:tcW w:w="673" w:type="pct"/>
            <w:shd w:val="clear" w:color="auto" w:fill="DDEBF7"/>
            <w:tcMar>
              <w:top w:w="90" w:type="dxa"/>
              <w:left w:w="110" w:type="dxa"/>
              <w:bottom w:w="90" w:type="dxa"/>
              <w:right w:w="110" w:type="dxa"/>
            </w:tcMar>
            <w:vAlign w:val="center"/>
          </w:tcPr>
          <w:p w14:paraId="5F140763">
            <w:pPr>
              <w:keepNext/>
              <w:spacing w:before="0" w:after="0" w:line="269" w:lineRule="auto"/>
              <w:ind w:firstLine="0"/>
            </w:pPr>
            <w:r>
              <w:rPr>
                <w:b/>
                <w:color w:val="17365D"/>
                <w:sz w:val="15"/>
              </w:rPr>
              <w:t>2次及以上通话</w:t>
            </w:r>
          </w:p>
        </w:tc>
        <w:tc>
          <w:tcPr>
            <w:tcW w:w="673" w:type="pct"/>
            <w:shd w:val="clear" w:color="auto" w:fill="DDEBF7"/>
          </w:tcPr>
          <w:p w14:paraId="2210BBF1">
            <w:pPr>
              <w:keepNext/>
              <w:spacing w:before="0" w:after="0" w:line="269" w:lineRule="auto"/>
              <w:ind w:firstLine="0"/>
              <w:jc w:val="center"/>
              <w:rPr>
                <w:b/>
                <w:color w:val="17365D"/>
                <w:sz w:val="15"/>
              </w:rPr>
            </w:pPr>
            <w:r>
              <w:rPr>
                <w:rFonts w:hint="eastAsia"/>
                <w:b/>
                <w:color w:val="17365D"/>
                <w:sz w:val="15"/>
              </w:rPr>
              <w:t>最终拒绝</w:t>
            </w:r>
          </w:p>
        </w:tc>
      </w:tr>
      <w:tr w14:paraId="715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6" w:type="pct"/>
            <w:tcMar>
              <w:top w:w="90" w:type="dxa"/>
              <w:left w:w="110" w:type="dxa"/>
              <w:bottom w:w="90" w:type="dxa"/>
              <w:right w:w="110" w:type="dxa"/>
            </w:tcMar>
            <w:vAlign w:val="center"/>
          </w:tcPr>
          <w:p w14:paraId="3A15B721">
            <w:pPr>
              <w:spacing w:before="0" w:after="0" w:line="269" w:lineRule="auto"/>
              <w:ind w:firstLine="0"/>
            </w:pPr>
            <w:r>
              <w:rPr>
                <w:sz w:val="15"/>
              </w:rPr>
              <w:t>第一批</w:t>
            </w:r>
          </w:p>
        </w:tc>
        <w:tc>
          <w:tcPr>
            <w:tcW w:w="1374" w:type="pct"/>
            <w:tcMar>
              <w:top w:w="90" w:type="dxa"/>
              <w:left w:w="110" w:type="dxa"/>
              <w:bottom w:w="90" w:type="dxa"/>
              <w:right w:w="110" w:type="dxa"/>
            </w:tcMar>
            <w:vAlign w:val="center"/>
          </w:tcPr>
          <w:p w14:paraId="6E1F34FE">
            <w:pPr>
              <w:spacing w:before="0" w:after="0" w:line="269" w:lineRule="auto"/>
              <w:ind w:firstLine="0"/>
            </w:pPr>
            <w:r>
              <w:rPr>
                <w:sz w:val="15"/>
              </w:rPr>
              <w:t>2023年11月至2024年1月；北京、上海、天津、郑州、秦皇岛、青岛，杭州14家、长治6家</w:t>
            </w:r>
          </w:p>
        </w:tc>
        <w:tc>
          <w:tcPr>
            <w:tcW w:w="526" w:type="pct"/>
            <w:tcMar>
              <w:top w:w="90" w:type="dxa"/>
              <w:left w:w="110" w:type="dxa"/>
              <w:bottom w:w="90" w:type="dxa"/>
              <w:right w:w="110" w:type="dxa"/>
            </w:tcMar>
            <w:vAlign w:val="center"/>
          </w:tcPr>
          <w:p w14:paraId="3E40E378">
            <w:pPr>
              <w:spacing w:before="0" w:after="0" w:line="269" w:lineRule="auto"/>
              <w:ind w:firstLine="0"/>
            </w:pPr>
            <w:r>
              <w:rPr>
                <w:sz w:val="15"/>
              </w:rPr>
              <w:t>133家</w:t>
            </w:r>
          </w:p>
        </w:tc>
        <w:tc>
          <w:tcPr>
            <w:tcW w:w="614" w:type="pct"/>
            <w:tcMar>
              <w:top w:w="90" w:type="dxa"/>
              <w:left w:w="110" w:type="dxa"/>
              <w:bottom w:w="90" w:type="dxa"/>
              <w:right w:w="110" w:type="dxa"/>
            </w:tcMar>
            <w:vAlign w:val="center"/>
          </w:tcPr>
          <w:p w14:paraId="5A633B59">
            <w:pPr>
              <w:spacing w:before="0" w:after="0" w:line="269" w:lineRule="auto"/>
              <w:ind w:firstLine="0"/>
            </w:pPr>
            <w:r>
              <w:rPr>
                <w:sz w:val="15"/>
              </w:rPr>
              <w:t>41家（30.8%）</w:t>
            </w:r>
          </w:p>
        </w:tc>
        <w:tc>
          <w:tcPr>
            <w:tcW w:w="614" w:type="pct"/>
            <w:tcMar>
              <w:top w:w="90" w:type="dxa"/>
              <w:left w:w="110" w:type="dxa"/>
              <w:bottom w:w="90" w:type="dxa"/>
              <w:right w:w="110" w:type="dxa"/>
            </w:tcMar>
            <w:vAlign w:val="center"/>
          </w:tcPr>
          <w:p w14:paraId="2BE8AD7C">
            <w:pPr>
              <w:spacing w:before="0" w:after="0" w:line="269" w:lineRule="auto"/>
              <w:ind w:firstLine="0"/>
            </w:pPr>
            <w:r>
              <w:rPr>
                <w:sz w:val="15"/>
              </w:rPr>
              <w:t>77家（57.9%）</w:t>
            </w:r>
          </w:p>
        </w:tc>
        <w:tc>
          <w:tcPr>
            <w:tcW w:w="673" w:type="pct"/>
            <w:tcMar>
              <w:top w:w="90" w:type="dxa"/>
              <w:left w:w="110" w:type="dxa"/>
              <w:bottom w:w="90" w:type="dxa"/>
              <w:right w:w="110" w:type="dxa"/>
            </w:tcMar>
            <w:vAlign w:val="center"/>
          </w:tcPr>
          <w:p w14:paraId="185433F5">
            <w:pPr>
              <w:spacing w:before="0" w:after="0" w:line="269" w:lineRule="auto"/>
              <w:ind w:firstLine="0"/>
            </w:pPr>
            <w:r>
              <w:rPr>
                <w:sz w:val="15"/>
              </w:rPr>
              <w:t>55家（41.4%）</w:t>
            </w:r>
          </w:p>
        </w:tc>
        <w:tc>
          <w:tcPr>
            <w:tcW w:w="673" w:type="pct"/>
          </w:tcPr>
          <w:p w14:paraId="5C0F7B09">
            <w:pPr>
              <w:spacing w:before="0" w:after="0" w:line="269" w:lineRule="auto"/>
              <w:ind w:firstLine="0"/>
              <w:jc w:val="center"/>
              <w:rPr>
                <w:sz w:val="15"/>
              </w:rPr>
            </w:pPr>
            <w:r>
              <w:rPr>
                <w:rFonts w:hint="eastAsia"/>
                <w:sz w:val="15"/>
              </w:rPr>
              <w:t>56家（42.1%）</w:t>
            </w:r>
          </w:p>
        </w:tc>
      </w:tr>
      <w:tr w14:paraId="4A7D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6" w:type="pct"/>
            <w:shd w:val="clear" w:color="auto" w:fill="F3F7FA"/>
            <w:tcMar>
              <w:top w:w="90" w:type="dxa"/>
              <w:left w:w="110" w:type="dxa"/>
              <w:bottom w:w="90" w:type="dxa"/>
              <w:right w:w="110" w:type="dxa"/>
            </w:tcMar>
            <w:vAlign w:val="center"/>
          </w:tcPr>
          <w:p w14:paraId="25468E31">
            <w:pPr>
              <w:spacing w:before="0" w:after="0" w:line="269" w:lineRule="auto"/>
              <w:ind w:firstLine="0"/>
            </w:pPr>
            <w:r>
              <w:rPr>
                <w:sz w:val="15"/>
              </w:rPr>
              <w:t>第二批</w:t>
            </w:r>
          </w:p>
        </w:tc>
        <w:tc>
          <w:tcPr>
            <w:tcW w:w="1374" w:type="pct"/>
            <w:shd w:val="clear" w:color="auto" w:fill="F3F7FA"/>
            <w:tcMar>
              <w:top w:w="90" w:type="dxa"/>
              <w:left w:w="110" w:type="dxa"/>
              <w:bottom w:w="90" w:type="dxa"/>
              <w:right w:w="110" w:type="dxa"/>
            </w:tcMar>
            <w:vAlign w:val="center"/>
          </w:tcPr>
          <w:p w14:paraId="1EC9A52D">
            <w:pPr>
              <w:spacing w:before="0" w:after="0" w:line="269" w:lineRule="auto"/>
              <w:ind w:firstLine="0"/>
            </w:pPr>
            <w:r>
              <w:rPr>
                <w:sz w:val="15"/>
              </w:rPr>
              <w:t>2025年6月；其余22个城市，杭州6家、长治9家</w:t>
            </w:r>
          </w:p>
        </w:tc>
        <w:tc>
          <w:tcPr>
            <w:tcW w:w="526" w:type="pct"/>
            <w:shd w:val="clear" w:color="auto" w:fill="F3F7FA"/>
            <w:tcMar>
              <w:top w:w="90" w:type="dxa"/>
              <w:left w:w="110" w:type="dxa"/>
              <w:bottom w:w="90" w:type="dxa"/>
              <w:right w:w="110" w:type="dxa"/>
            </w:tcMar>
            <w:vAlign w:val="center"/>
          </w:tcPr>
          <w:p w14:paraId="38D26BBE">
            <w:pPr>
              <w:spacing w:before="0" w:after="0" w:line="269" w:lineRule="auto"/>
              <w:ind w:firstLine="0"/>
            </w:pPr>
            <w:r>
              <w:rPr>
                <w:sz w:val="15"/>
              </w:rPr>
              <w:t>425家</w:t>
            </w:r>
          </w:p>
        </w:tc>
        <w:tc>
          <w:tcPr>
            <w:tcW w:w="614" w:type="pct"/>
            <w:shd w:val="clear" w:color="auto" w:fill="F3F7FA"/>
            <w:tcMar>
              <w:top w:w="90" w:type="dxa"/>
              <w:left w:w="110" w:type="dxa"/>
              <w:bottom w:w="90" w:type="dxa"/>
              <w:right w:w="110" w:type="dxa"/>
            </w:tcMar>
            <w:vAlign w:val="center"/>
          </w:tcPr>
          <w:p w14:paraId="7B7C1AEE">
            <w:pPr>
              <w:spacing w:before="0" w:after="0" w:line="269" w:lineRule="auto"/>
              <w:ind w:firstLine="0"/>
            </w:pPr>
            <w:r>
              <w:rPr>
                <w:sz w:val="15"/>
              </w:rPr>
              <w:t>246家（57.9%）</w:t>
            </w:r>
          </w:p>
        </w:tc>
        <w:tc>
          <w:tcPr>
            <w:tcW w:w="614" w:type="pct"/>
            <w:shd w:val="clear" w:color="auto" w:fill="F3F7FA"/>
            <w:tcMar>
              <w:top w:w="90" w:type="dxa"/>
              <w:left w:w="110" w:type="dxa"/>
              <w:bottom w:w="90" w:type="dxa"/>
              <w:right w:w="110" w:type="dxa"/>
            </w:tcMar>
            <w:vAlign w:val="center"/>
          </w:tcPr>
          <w:p w14:paraId="63222487">
            <w:pPr>
              <w:spacing w:before="0" w:after="0" w:line="269" w:lineRule="auto"/>
              <w:ind w:firstLine="0"/>
            </w:pPr>
            <w:r>
              <w:rPr>
                <w:sz w:val="15"/>
              </w:rPr>
              <w:t>388家（91.3%）</w:t>
            </w:r>
          </w:p>
        </w:tc>
        <w:tc>
          <w:tcPr>
            <w:tcW w:w="673" w:type="pct"/>
            <w:shd w:val="clear" w:color="auto" w:fill="F3F7FA"/>
            <w:tcMar>
              <w:top w:w="90" w:type="dxa"/>
              <w:left w:w="110" w:type="dxa"/>
              <w:bottom w:w="90" w:type="dxa"/>
              <w:right w:w="110" w:type="dxa"/>
            </w:tcMar>
            <w:vAlign w:val="center"/>
          </w:tcPr>
          <w:p w14:paraId="2FE049DA">
            <w:pPr>
              <w:spacing w:before="0" w:after="0" w:line="269" w:lineRule="auto"/>
              <w:ind w:firstLine="0"/>
            </w:pPr>
            <w:r>
              <w:rPr>
                <w:sz w:val="15"/>
              </w:rPr>
              <w:t>132家（31.1%）</w:t>
            </w:r>
          </w:p>
        </w:tc>
        <w:tc>
          <w:tcPr>
            <w:tcW w:w="673" w:type="pct"/>
            <w:shd w:val="clear" w:color="auto" w:fill="F3F7FA"/>
          </w:tcPr>
          <w:p w14:paraId="0A346AA2">
            <w:pPr>
              <w:spacing w:before="0" w:after="0" w:line="269" w:lineRule="auto"/>
              <w:ind w:firstLine="0"/>
              <w:jc w:val="center"/>
              <w:rPr>
                <w:sz w:val="15"/>
              </w:rPr>
            </w:pPr>
            <w:r>
              <w:rPr>
                <w:rFonts w:hint="eastAsia"/>
                <w:sz w:val="15"/>
              </w:rPr>
              <w:t>37家（8.7%）</w:t>
            </w:r>
          </w:p>
        </w:tc>
      </w:tr>
    </w:tbl>
    <w:p w14:paraId="087AC791">
      <w:pPr>
        <w:pStyle w:val="175"/>
      </w:pPr>
      <w:r>
        <w:t xml:space="preserve">注：批次按各门店通话录音的日期归属</w:t>
      </w:r>
      <w:r>
        <w:t xml:space="preserve">；</w:t>
      </w:r>
      <w:r>
        <w:t xml:space="preserve">杭州、长治两城的门店分属两个批次。</w:t>
      </w:r>
    </w:p>
    <w:p w14:paraId="6946C510">
      <w:pPr>
        <w:pStyle w:val="5"/>
      </w:pPr>
      <w:r>
        <w:t>（四）建议形成的经验依据</w:t>
      </w:r>
    </w:p>
    <w:p w14:paraId="0952D534">
      <w:r>
        <w:t>第三章的改进建议，结合了电话调研中发现的顾虑与障碍、团队成员自身使用导盲犬的住宿经历、日常社群交流，以及与导盲犬使用者开展的单独交流、咨询和焦点小组讨论。</w:t>
      </w:r>
    </w:p>
    <w:p w14:paraId="5B02EA47">
      <w:r>
        <w:t>这些经验材料用于理解预订咨询与实际接待之间的问题，并为接待流程、按需引导和现场协调提供建议；门店比例和排行则只依据558家有效反馈记录计算。正文电话案例按通话过程转述，并注明咨询者以使用者本人还是亲友身份咨询；案例编号对应录音整理台账，在正文案例首次出现时注明，同一门店的多段通话按过程归并。</w:t>
      </w:r>
    </w:p>
    <w:p w14:paraId="1C9C419C">
      <w:pPr>
        <w:pStyle w:val="4"/>
      </w:pPr>
      <w:bookmarkStart w:id="56" w:name="_Toc239432630"/>
      <w:bookmarkStart w:id="57" w:name="_Toc242417925"/>
      <w:r>
        <w:t>二 测评指标与编码规则</w:t>
      </w:r>
      <w:bookmarkEnd w:id="51"/>
      <w:bookmarkEnd w:id="56"/>
      <w:bookmarkEnd w:id="57"/>
    </w:p>
    <w:p w14:paraId="318DC3BB">
      <w:pPr>
        <w:pStyle w:val="5"/>
      </w:pPr>
      <w:r>
        <w:t>（一）沟通成本与排行指数</w:t>
      </w:r>
    </w:p>
    <w:p w14:paraId="269AB068">
      <w:r>
        <w:rPr>
          <w:rFonts w:hint="eastAsia"/>
        </w:rPr>
        <w:t>独立通话次数用于观察入住咨询中的沟通负担。每次重新联系门店，咨询者可能还要再次说明情况、等待内部确认或联系负责人。这些过程影响使用者何时能够确定住宿安排。</w:t>
      </w:r>
    </w:p>
    <w:p w14:paraId="176E4699">
      <w:r>
        <w:t>普通住客的预订通常可以在线完成，或只需一次电话确认。导盲犬入住需要多次致电时，额外的沟通负担由导盲犬使用者承担。</w:t>
      </w:r>
    </w:p>
    <w:p w14:paraId="7C9713A0">
      <w:r>
        <w:t>样本接纳与沟通指数由三个比例构成，均以相应品牌或城市的有效反馈门店数为分母。最终接纳率是最终同意入住的门店比例；直接同意率是第一轮明确同意入住的门店比例；一次通话接纳率是在一次独立通话内获得最终接纳的门店比例。</w:t>
      </w:r>
    </w:p>
    <w:p w14:paraId="4AD8DC3B">
      <w:r>
        <w:t>指数满分10分，计算公式为：</w:t>
      </w:r>
    </w:p>
    <w:p w14:paraId="7C85AE0E">
      <w:r>
        <w:t>样本接纳与沟通指数＝6×最终接纳率＋2×直接同意率＋2×一次通话接纳率。</w:t>
      </w:r>
    </w:p>
    <w:p w14:paraId="2F733B22">
      <w:r>
        <w:rPr>
          <w:rFonts w:hint="eastAsia"/>
        </w:rPr>
        <w:t>最终接纳率占6分，体现门店最终是否在电话中同意接待；直接同意率占2分，体现门店能否在第一轮沟通中明确同意接待；一次通话接纳率占2分，体现咨询者能否在较少沟通下获得接纳。直接拒绝不计入一次通话接纳，迅速拒绝不获得沟通效率分。权重以最终能否入住为主、沟通负担为辅；“一次通话接纳”的门店必然同时计入“最终接纳”，三项指标存在一定重叠。</w:t>
      </w:r>
    </w:p>
    <w:p w14:paraId="72B05E7E">
      <w:r>
        <w:t>直接同意记录答复类型，一次通话接纳同时要求仅有一次独立通话且最终接纳，两项指标分别计算。门店可能在一次通话内经过解释或请示后同意，也可能经过多次电话联系才给出最终答复。</w:t>
      </w:r>
    </w:p>
    <w:p w14:paraId="7325EB20">
      <w:r>
        <w:t>品牌和城市分别按照这一公式计算得分并排序。附带条件不折算进指数，在榜单中单独列出。最终拒绝率、多次通话比例和附带条件比例分别补充说明接纳结果、沟通负担和入住条件。</w:t>
      </w:r>
    </w:p>
    <w:p w14:paraId="10BA2570">
      <w:pPr>
        <w:pStyle w:val="5"/>
      </w:pPr>
      <w:r>
        <w:t>（二）指数所用数据字段</w:t>
      </w:r>
    </w:p>
    <w:tbl>
      <w:tblPr>
        <w:tblStyle w:val="39"/>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2551"/>
        <w:gridCol w:w="3061"/>
        <w:gridCol w:w="3061"/>
      </w:tblGrid>
      <w:tr w14:paraId="2B22313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2551" w:type="dxa"/>
            <w:shd w:val="clear" w:color="auto" w:fill="DDE6F0"/>
            <w:vAlign w:val="center"/>
          </w:tcPr>
          <w:p w14:paraId="7DFFC911">
            <w:pPr>
              <w:keepNext/>
              <w:spacing w:after="0"/>
              <w:ind w:firstLine="0"/>
              <w:jc w:val="center"/>
            </w:pPr>
            <w:r>
              <w:rPr>
                <w:rFonts w:ascii="微软雅黑" w:hAnsi="微软雅黑" w:eastAsia="微软雅黑"/>
                <w:b/>
                <w:color w:val="263238"/>
                <w:sz w:val="16"/>
              </w:rPr>
              <w:t>数据字段</w:t>
            </w:r>
          </w:p>
        </w:tc>
        <w:tc>
          <w:tcPr>
            <w:tcW w:w="3061" w:type="dxa"/>
            <w:shd w:val="clear" w:color="auto" w:fill="DDE6F0"/>
            <w:vAlign w:val="center"/>
          </w:tcPr>
          <w:p w14:paraId="58D18D08">
            <w:pPr>
              <w:keepNext/>
              <w:spacing w:after="0"/>
              <w:ind w:firstLine="0"/>
              <w:jc w:val="center"/>
            </w:pPr>
            <w:r>
              <w:rPr>
                <w:rFonts w:ascii="微软雅黑" w:hAnsi="微软雅黑" w:eastAsia="微软雅黑"/>
                <w:b/>
                <w:color w:val="263238"/>
                <w:sz w:val="16"/>
              </w:rPr>
              <w:t>记录内容</w:t>
            </w:r>
          </w:p>
        </w:tc>
        <w:tc>
          <w:tcPr>
            <w:tcW w:w="3061" w:type="dxa"/>
            <w:shd w:val="clear" w:color="auto" w:fill="DDE6F0"/>
            <w:vAlign w:val="center"/>
          </w:tcPr>
          <w:p w14:paraId="7A1C4F7C">
            <w:pPr>
              <w:keepNext/>
              <w:spacing w:after="0"/>
              <w:ind w:firstLine="0"/>
              <w:jc w:val="center"/>
            </w:pPr>
            <w:r>
              <w:rPr>
                <w:rFonts w:ascii="微软雅黑" w:hAnsi="微软雅黑" w:eastAsia="微软雅黑"/>
                <w:b/>
                <w:color w:val="263238"/>
                <w:sz w:val="16"/>
              </w:rPr>
              <w:t>统计用途</w:t>
            </w:r>
          </w:p>
        </w:tc>
      </w:tr>
      <w:tr w14:paraId="5780C4B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59C818A0">
            <w:pPr>
              <w:spacing w:after="0"/>
              <w:ind w:firstLine="0"/>
              <w:jc w:val="center"/>
            </w:pPr>
            <w:r>
              <w:rPr>
                <w:rFonts w:ascii="微软雅黑" w:hAnsi="微软雅黑" w:eastAsia="微软雅黑"/>
                <w:color w:val="263238"/>
                <w:sz w:val="16"/>
              </w:rPr>
              <w:t>答复结果</w:t>
            </w:r>
          </w:p>
        </w:tc>
        <w:tc>
          <w:tcPr>
            <w:tcW w:w="3061" w:type="dxa"/>
            <w:vAlign w:val="center"/>
          </w:tcPr>
          <w:p w14:paraId="6C658AB0">
            <w:pPr>
              <w:spacing w:after="0"/>
              <w:ind w:firstLine="0"/>
              <w:jc w:val="center"/>
            </w:pPr>
            <w:r>
              <w:rPr>
                <w:rFonts w:ascii="微软雅黑" w:hAnsi="微软雅黑" w:eastAsia="微软雅黑"/>
                <w:color w:val="263238"/>
                <w:sz w:val="16"/>
              </w:rPr>
              <w:t>直接同意、沟通后同意、直接拒绝、沟通后拒绝</w:t>
            </w:r>
          </w:p>
        </w:tc>
        <w:tc>
          <w:tcPr>
            <w:tcW w:w="3061" w:type="dxa"/>
            <w:vAlign w:val="center"/>
          </w:tcPr>
          <w:p w14:paraId="0E86769B">
            <w:pPr>
              <w:spacing w:after="0"/>
              <w:ind w:firstLine="0"/>
              <w:jc w:val="center"/>
            </w:pPr>
            <w:r>
              <w:rPr>
                <w:rFonts w:ascii="微软雅黑" w:hAnsi="微软雅黑" w:eastAsia="微软雅黑"/>
                <w:color w:val="263238"/>
                <w:sz w:val="16"/>
              </w:rPr>
              <w:t>计算最终接纳率和直接同意率</w:t>
            </w:r>
          </w:p>
        </w:tc>
      </w:tr>
      <w:tr w14:paraId="29098F1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02087BDA">
            <w:pPr>
              <w:spacing w:after="0"/>
              <w:ind w:firstLine="0"/>
              <w:jc w:val="center"/>
            </w:pPr>
            <w:r>
              <w:rPr>
                <w:rFonts w:ascii="微软雅黑" w:hAnsi="微软雅黑" w:eastAsia="微软雅黑"/>
                <w:color w:val="263238"/>
                <w:sz w:val="16"/>
              </w:rPr>
              <w:t>独立通话次数</w:t>
            </w:r>
          </w:p>
        </w:tc>
        <w:tc>
          <w:tcPr>
            <w:tcW w:w="3061" w:type="dxa"/>
            <w:vAlign w:val="center"/>
          </w:tcPr>
          <w:p w14:paraId="1A8410F8">
            <w:pPr>
              <w:spacing w:after="0"/>
              <w:ind w:firstLine="0"/>
              <w:jc w:val="center"/>
            </w:pPr>
            <w:r>
              <w:rPr>
                <w:rFonts w:ascii="微软雅黑" w:hAnsi="微软雅黑" w:eastAsia="微软雅黑"/>
                <w:color w:val="263238"/>
                <w:sz w:val="16"/>
              </w:rPr>
              <w:t>每家门店取得最终答复所用的独立通话次数（含得到答复的那一次）</w:t>
            </w:r>
          </w:p>
        </w:tc>
        <w:tc>
          <w:tcPr>
            <w:tcW w:w="3061" w:type="dxa"/>
            <w:vAlign w:val="center"/>
          </w:tcPr>
          <w:p w14:paraId="578BCB78">
            <w:pPr>
              <w:spacing w:after="0"/>
              <w:ind w:firstLine="0"/>
              <w:jc w:val="center"/>
            </w:pPr>
            <w:r>
              <w:rPr>
                <w:rFonts w:ascii="微软雅黑" w:hAnsi="微软雅黑" w:eastAsia="微软雅黑"/>
                <w:color w:val="263238"/>
                <w:sz w:val="16"/>
              </w:rPr>
              <w:t>计算一次通话接纳率；多次通话另行列示</w:t>
            </w:r>
          </w:p>
        </w:tc>
      </w:tr>
      <w:tr w14:paraId="52A92AF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6EC4212D">
            <w:pPr>
              <w:spacing w:after="0"/>
              <w:ind w:firstLine="0"/>
              <w:jc w:val="center"/>
            </w:pPr>
            <w:r>
              <w:rPr>
                <w:rFonts w:ascii="微软雅黑" w:hAnsi="微软雅黑" w:eastAsia="微软雅黑"/>
                <w:color w:val="263238"/>
                <w:sz w:val="16"/>
              </w:rPr>
              <w:t>附带条件编码</w:t>
            </w:r>
          </w:p>
        </w:tc>
        <w:tc>
          <w:tcPr>
            <w:tcW w:w="3061" w:type="dxa"/>
            <w:vAlign w:val="center"/>
          </w:tcPr>
          <w:p w14:paraId="7539ACC9">
            <w:pPr>
              <w:spacing w:after="0"/>
              <w:ind w:firstLine="0"/>
              <w:jc w:val="center"/>
            </w:pPr>
            <w:r>
              <w:rPr>
                <w:rFonts w:ascii="微软雅黑" w:hAnsi="微软雅黑" w:eastAsia="微软雅黑"/>
                <w:color w:val="263238"/>
                <w:sz w:val="16"/>
              </w:rPr>
              <w:t>收费、免责、行为要求、区别性房间安排和活动范围限制等</w:t>
            </w:r>
          </w:p>
        </w:tc>
        <w:tc>
          <w:tcPr>
            <w:tcW w:w="3061" w:type="dxa"/>
            <w:vAlign w:val="center"/>
          </w:tcPr>
          <w:p w14:paraId="40A69B86">
            <w:pPr>
              <w:spacing w:after="0"/>
              <w:ind w:firstLine="0"/>
              <w:jc w:val="center"/>
            </w:pPr>
            <w:r>
              <w:rPr>
                <w:rFonts w:ascii="微软雅黑" w:hAnsi="微软雅黑" w:eastAsia="微软雅黑"/>
                <w:color w:val="263238"/>
                <w:sz w:val="16"/>
              </w:rPr>
              <w:t>单独列示，不计入指数</w:t>
            </w:r>
          </w:p>
        </w:tc>
      </w:tr>
    </w:tbl>
    <w:p w14:paraId="3EE10910">
      <w:pPr>
        <w:pStyle w:val="175"/>
      </w:pPr>
      <w:r>
        <w:t>附带条件处理｜86家附带条件接纳采用经人工复核的编码，单独列示，不计入指数。排序规则见附录三（二）。</w:t>
      </w:r>
    </w:p>
    <w:p w14:paraId="5A25766A">
      <w:pPr>
        <w:pStyle w:val="5"/>
      </w:pPr>
      <w:bookmarkStart w:id="58" w:name="_Toc7006"/>
      <w:r>
        <w:rPr>
          <w:rFonts w:ascii="Times New Roman" w:hAnsi="Times New Roman" w:eastAsia="黑体"/>
        </w:rPr>
        <w:t>（三）直接同意率与最终拒绝率</w:t>
      </w:r>
      <w:bookmarkEnd w:id="58"/>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465"/>
        <w:gridCol w:w="2611"/>
        <w:gridCol w:w="4204"/>
      </w:tblGrid>
      <w:tr w14:paraId="7654F3E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465" w:type="dxa"/>
            <w:shd w:val="clear" w:color="auto" w:fill="2C2C2C"/>
            <w:tcMar>
              <w:top w:w="90" w:type="dxa"/>
              <w:left w:w="100" w:type="dxa"/>
              <w:bottom w:w="90" w:type="dxa"/>
              <w:right w:w="100" w:type="dxa"/>
            </w:tcMar>
            <w:vAlign w:val="center"/>
          </w:tcPr>
          <w:p w14:paraId="6A3CA4E9">
            <w:pPr>
              <w:keepNext/>
              <w:spacing w:before="0" w:after="0" w:line="264" w:lineRule="auto"/>
              <w:ind w:firstLine="0"/>
              <w:jc w:val="center"/>
            </w:pPr>
            <w:r>
              <w:rPr>
                <w:rFonts w:eastAsia="黑体"/>
                <w:b/>
                <w:color w:val="FFFFFF"/>
                <w:sz w:val="17"/>
              </w:rPr>
              <w:t>指标</w:t>
            </w:r>
          </w:p>
        </w:tc>
        <w:tc>
          <w:tcPr>
            <w:tcW w:w="2611" w:type="dxa"/>
            <w:shd w:val="clear" w:color="auto" w:fill="2C2C2C"/>
            <w:tcMar>
              <w:top w:w="90" w:type="dxa"/>
              <w:left w:w="100" w:type="dxa"/>
              <w:bottom w:w="90" w:type="dxa"/>
              <w:right w:w="100" w:type="dxa"/>
            </w:tcMar>
            <w:vAlign w:val="center"/>
          </w:tcPr>
          <w:p w14:paraId="338F67C5">
            <w:pPr>
              <w:keepNext/>
              <w:spacing w:before="0" w:after="0" w:line="264" w:lineRule="auto"/>
              <w:ind w:firstLine="0"/>
              <w:jc w:val="center"/>
            </w:pPr>
            <w:r>
              <w:rPr>
                <w:rFonts w:eastAsia="黑体"/>
                <w:b/>
                <w:color w:val="FFFFFF"/>
                <w:sz w:val="17"/>
              </w:rPr>
              <w:t>计算方式</w:t>
            </w:r>
          </w:p>
        </w:tc>
        <w:tc>
          <w:tcPr>
            <w:tcW w:w="4204" w:type="dxa"/>
            <w:shd w:val="clear" w:color="auto" w:fill="2C2C2C"/>
            <w:tcMar>
              <w:top w:w="90" w:type="dxa"/>
              <w:left w:w="100" w:type="dxa"/>
              <w:bottom w:w="90" w:type="dxa"/>
              <w:right w:w="100" w:type="dxa"/>
            </w:tcMar>
            <w:vAlign w:val="center"/>
          </w:tcPr>
          <w:p w14:paraId="1F8CC457">
            <w:pPr>
              <w:keepNext/>
              <w:spacing w:before="0" w:after="0" w:line="264" w:lineRule="auto"/>
              <w:ind w:firstLine="0"/>
              <w:jc w:val="center"/>
            </w:pPr>
            <w:r>
              <w:rPr>
                <w:rFonts w:eastAsia="黑体"/>
                <w:b/>
                <w:color w:val="FFFFFF"/>
                <w:sz w:val="17"/>
              </w:rPr>
              <w:t>指标含义</w:t>
            </w:r>
          </w:p>
        </w:tc>
      </w:tr>
      <w:tr w14:paraId="09AC8BD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465" w:type="dxa"/>
            <w:shd w:val="clear" w:color="auto" w:fill="FFFFFF"/>
            <w:tcMar>
              <w:top w:w="90" w:type="dxa"/>
              <w:left w:w="100" w:type="dxa"/>
              <w:bottom w:w="90" w:type="dxa"/>
              <w:right w:w="100" w:type="dxa"/>
            </w:tcMar>
            <w:vAlign w:val="center"/>
          </w:tcPr>
          <w:p w14:paraId="341EBF63">
            <w:pPr>
              <w:spacing w:before="0" w:after="0" w:line="264" w:lineRule="auto"/>
              <w:ind w:firstLine="0"/>
              <w:jc w:val="center"/>
            </w:pPr>
            <w:r>
              <w:rPr>
                <w:sz w:val="17"/>
              </w:rPr>
              <w:t>直接同意率</w:t>
            </w:r>
          </w:p>
        </w:tc>
        <w:tc>
          <w:tcPr>
            <w:tcW w:w="2611" w:type="dxa"/>
            <w:shd w:val="clear" w:color="auto" w:fill="FFFFFF"/>
            <w:tcMar>
              <w:top w:w="90" w:type="dxa"/>
              <w:left w:w="100" w:type="dxa"/>
              <w:bottom w:w="90" w:type="dxa"/>
              <w:right w:w="100" w:type="dxa"/>
            </w:tcMar>
            <w:vAlign w:val="center"/>
          </w:tcPr>
          <w:p w14:paraId="1AA10F36">
            <w:pPr>
              <w:spacing w:before="0" w:after="0" w:line="264" w:lineRule="auto"/>
              <w:ind w:firstLine="0"/>
              <w:jc w:val="left"/>
            </w:pPr>
            <w:r>
              <w:rPr>
                <w:sz w:val="17"/>
              </w:rPr>
              <w:t>直接同意门店数 ÷ 有效反馈门店数</w:t>
            </w:r>
          </w:p>
        </w:tc>
        <w:tc>
          <w:tcPr>
            <w:tcW w:w="4204" w:type="dxa"/>
            <w:shd w:val="clear" w:color="auto" w:fill="FFFFFF"/>
            <w:tcMar>
              <w:top w:w="90" w:type="dxa"/>
              <w:left w:w="100" w:type="dxa"/>
              <w:bottom w:w="90" w:type="dxa"/>
              <w:right w:w="100" w:type="dxa"/>
            </w:tcMar>
            <w:vAlign w:val="center"/>
          </w:tcPr>
          <w:p w14:paraId="2FD140B7">
            <w:pPr>
              <w:spacing w:before="0" w:after="0" w:line="264" w:lineRule="auto"/>
              <w:ind w:firstLine="0"/>
              <w:jc w:val="left"/>
            </w:pPr>
            <w:r>
              <w:rPr>
                <w:sz w:val="17"/>
              </w:rPr>
              <w:t>数值越高，说明本次样本中越多门店能够在第一轮沟通中明确接纳，前置沟通负担相对较低。</w:t>
            </w:r>
          </w:p>
        </w:tc>
      </w:tr>
      <w:tr w14:paraId="7DF7371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465" w:type="dxa"/>
            <w:shd w:val="clear" w:color="auto" w:fill="FAFAF8"/>
            <w:tcMar>
              <w:top w:w="90" w:type="dxa"/>
              <w:left w:w="100" w:type="dxa"/>
              <w:bottom w:w="90" w:type="dxa"/>
              <w:right w:w="100" w:type="dxa"/>
            </w:tcMar>
            <w:vAlign w:val="center"/>
          </w:tcPr>
          <w:p w14:paraId="3B7E7FE4">
            <w:pPr>
              <w:spacing w:before="0" w:after="0" w:line="264" w:lineRule="auto"/>
              <w:ind w:firstLine="0"/>
              <w:jc w:val="center"/>
            </w:pPr>
            <w:r>
              <w:rPr>
                <w:sz w:val="17"/>
              </w:rPr>
              <w:t>最终拒绝率</w:t>
            </w:r>
          </w:p>
        </w:tc>
        <w:tc>
          <w:tcPr>
            <w:tcW w:w="2611" w:type="dxa"/>
            <w:shd w:val="clear" w:color="auto" w:fill="FAFAF8"/>
            <w:tcMar>
              <w:top w:w="90" w:type="dxa"/>
              <w:left w:w="100" w:type="dxa"/>
              <w:bottom w:w="90" w:type="dxa"/>
              <w:right w:w="100" w:type="dxa"/>
            </w:tcMar>
            <w:vAlign w:val="center"/>
          </w:tcPr>
          <w:p w14:paraId="7EFD292A">
            <w:pPr>
              <w:spacing w:before="0" w:after="0" w:line="264" w:lineRule="auto"/>
              <w:ind w:firstLine="0"/>
              <w:jc w:val="left"/>
            </w:pPr>
            <w:r>
              <w:rPr>
                <w:sz w:val="17"/>
              </w:rPr>
              <w:t>最终拒绝门店数 ÷ 有效反馈门店数</w:t>
            </w:r>
          </w:p>
        </w:tc>
        <w:tc>
          <w:tcPr>
            <w:tcW w:w="4204" w:type="dxa"/>
            <w:shd w:val="clear" w:color="auto" w:fill="FAFAF8"/>
            <w:tcMar>
              <w:top w:w="90" w:type="dxa"/>
              <w:left w:w="100" w:type="dxa"/>
              <w:bottom w:w="90" w:type="dxa"/>
              <w:right w:w="100" w:type="dxa"/>
            </w:tcMar>
            <w:vAlign w:val="center"/>
          </w:tcPr>
          <w:p w14:paraId="51211A35">
            <w:pPr>
              <w:spacing w:before="0" w:after="0" w:line="264" w:lineRule="auto"/>
              <w:ind w:firstLine="0"/>
              <w:jc w:val="left"/>
            </w:pPr>
            <w:r>
              <w:rPr>
                <w:sz w:val="17"/>
              </w:rPr>
              <w:t>数值越高，说明本次样本中最终在电话中拒绝接待导盲犬使用者的门店比例越高。</w:t>
            </w:r>
          </w:p>
        </w:tc>
      </w:tr>
    </w:tbl>
    <w:p w14:paraId="10099DBD"/>
    <w:p w14:paraId="5BF5259D">
      <w:pPr>
        <w:pStyle w:val="5"/>
      </w:pPr>
      <w:bookmarkStart w:id="59" w:name="_Toc23501"/>
      <w:r>
        <w:rPr>
          <w:rFonts w:ascii="Times New Roman" w:hAnsi="Times New Roman" w:eastAsia="黑体"/>
        </w:rPr>
        <w:t>（四）附带条件接纳编码</w:t>
      </w:r>
      <w:bookmarkEnd w:id="59"/>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338"/>
        <w:gridCol w:w="1000"/>
        <w:gridCol w:w="1100"/>
        <w:gridCol w:w="2676"/>
        <w:gridCol w:w="2166"/>
      </w:tblGrid>
      <w:tr w14:paraId="408E210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338" w:type="dxa"/>
            <w:shd w:val="clear" w:color="auto" w:fill="2C2C2C"/>
            <w:tcMar>
              <w:top w:w="90" w:type="dxa"/>
              <w:left w:w="100" w:type="dxa"/>
              <w:bottom w:w="90" w:type="dxa"/>
              <w:right w:w="100" w:type="dxa"/>
            </w:tcMar>
            <w:vAlign w:val="center"/>
          </w:tcPr>
          <w:p w14:paraId="66B0DC96">
            <w:pPr>
              <w:keepNext/>
              <w:spacing w:before="0" w:after="0" w:line="264" w:lineRule="auto"/>
              <w:ind w:firstLine="0"/>
              <w:jc w:val="center"/>
            </w:pPr>
            <w:r>
              <w:rPr>
                <w:rFonts w:eastAsia="黑体"/>
                <w:b/>
                <w:color w:val="FFFFFF"/>
                <w:sz w:val="17"/>
              </w:rPr>
              <w:t>条件类型</w:t>
            </w:r>
          </w:p>
        </w:tc>
        <w:tc>
          <w:tcPr>
            <w:tcW w:w="1000" w:type="dxa"/>
            <w:shd w:val="clear" w:color="auto" w:fill="2C2C2C"/>
            <w:tcMar>
              <w:top w:w="90" w:type="dxa"/>
              <w:left w:w="100" w:type="dxa"/>
              <w:bottom w:w="90" w:type="dxa"/>
              <w:right w:w="100" w:type="dxa"/>
            </w:tcMar>
            <w:vAlign w:val="center"/>
          </w:tcPr>
          <w:p w14:paraId="2A0B5D8E">
            <w:pPr>
              <w:keepNext/>
              <w:spacing w:before="0" w:after="0" w:line="264" w:lineRule="auto"/>
              <w:ind w:firstLine="0"/>
              <w:jc w:val="center"/>
            </w:pPr>
            <w:r>
              <w:rPr>
                <w:rFonts w:eastAsia="黑体"/>
                <w:b/>
                <w:color w:val="FFFFFF"/>
                <w:sz w:val="17"/>
              </w:rPr>
              <w:t>门店数量</w:t>
            </w:r>
          </w:p>
        </w:tc>
        <w:tc>
          <w:tcPr>
            <w:tcW w:w="1100" w:type="dxa"/>
            <w:shd w:val="clear" w:color="auto" w:fill="2C2C2C"/>
            <w:tcMar>
              <w:top w:w="90" w:type="dxa"/>
              <w:left w:w="100" w:type="dxa"/>
              <w:bottom w:w="90" w:type="dxa"/>
              <w:right w:w="100" w:type="dxa"/>
            </w:tcMar>
            <w:vAlign w:val="center"/>
          </w:tcPr>
          <w:p w14:paraId="1110DC1E">
            <w:pPr>
              <w:keepNext/>
              <w:spacing w:before="0" w:after="0" w:line="264" w:lineRule="auto"/>
              <w:ind w:firstLine="0"/>
              <w:jc w:val="center"/>
            </w:pPr>
            <w:r>
              <w:rPr>
                <w:rFonts w:eastAsia="黑体"/>
                <w:b/>
                <w:color w:val="FFFFFF"/>
                <w:sz w:val="17"/>
              </w:rPr>
              <w:t>比例</w:t>
            </w:r>
          </w:p>
        </w:tc>
        <w:tc>
          <w:tcPr>
            <w:tcW w:w="2676" w:type="dxa"/>
            <w:shd w:val="clear" w:color="auto" w:fill="2C2C2C"/>
            <w:tcMar>
              <w:top w:w="90" w:type="dxa"/>
              <w:left w:w="100" w:type="dxa"/>
              <w:bottom w:w="90" w:type="dxa"/>
              <w:right w:w="100" w:type="dxa"/>
            </w:tcMar>
            <w:vAlign w:val="center"/>
          </w:tcPr>
          <w:p w14:paraId="4ED921F8">
            <w:pPr>
              <w:keepNext/>
              <w:spacing w:before="0" w:after="0" w:line="264" w:lineRule="auto"/>
              <w:ind w:firstLine="0"/>
              <w:jc w:val="center"/>
            </w:pPr>
            <w:r>
              <w:rPr>
                <w:rFonts w:eastAsia="黑体"/>
                <w:b/>
                <w:color w:val="FFFFFF"/>
                <w:sz w:val="17"/>
              </w:rPr>
              <w:t>判断标准</w:t>
            </w:r>
          </w:p>
        </w:tc>
        <w:tc>
          <w:tcPr>
            <w:tcW w:w="2166" w:type="dxa"/>
            <w:shd w:val="clear" w:color="auto" w:fill="2C2C2C"/>
            <w:tcMar>
              <w:top w:w="90" w:type="dxa"/>
              <w:left w:w="100" w:type="dxa"/>
              <w:bottom w:w="90" w:type="dxa"/>
              <w:right w:w="100" w:type="dxa"/>
            </w:tcMar>
            <w:vAlign w:val="center"/>
          </w:tcPr>
          <w:p w14:paraId="7AF91456">
            <w:pPr>
              <w:keepNext/>
              <w:spacing w:before="0" w:after="0" w:line="264" w:lineRule="auto"/>
              <w:ind w:firstLine="0"/>
              <w:jc w:val="center"/>
            </w:pPr>
            <w:r>
              <w:rPr>
                <w:rFonts w:eastAsia="黑体"/>
                <w:b/>
                <w:color w:val="FFFFFF"/>
                <w:sz w:val="17"/>
              </w:rPr>
              <w:t>示例表达</w:t>
            </w:r>
          </w:p>
        </w:tc>
      </w:tr>
      <w:tr w14:paraId="3F69380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2794DD49">
            <w:pPr>
              <w:spacing w:before="0" w:after="0" w:line="264" w:lineRule="auto"/>
              <w:ind w:firstLine="0"/>
              <w:jc w:val="center"/>
            </w:pPr>
            <w:r>
              <w:rPr>
                <w:sz w:val="17"/>
              </w:rPr>
              <w:t>额外押金或清洁费</w:t>
            </w:r>
          </w:p>
        </w:tc>
        <w:tc>
          <w:tcPr>
            <w:tcW w:w="1000" w:type="dxa"/>
            <w:shd w:val="clear" w:color="auto" w:fill="FFFFFF"/>
            <w:tcMar>
              <w:top w:w="90" w:type="dxa"/>
              <w:left w:w="100" w:type="dxa"/>
              <w:bottom w:w="90" w:type="dxa"/>
              <w:right w:w="100" w:type="dxa"/>
            </w:tcMar>
            <w:vAlign w:val="center"/>
          </w:tcPr>
          <w:p w14:paraId="14F9FCA9">
            <w:pPr>
              <w:spacing w:before="0" w:after="0" w:line="264" w:lineRule="auto"/>
              <w:ind w:firstLine="0"/>
              <w:jc w:val="center"/>
            </w:pPr>
            <w:r>
              <w:rPr>
                <w:sz w:val="17"/>
              </w:rPr>
              <w:t>50家</w:t>
            </w:r>
          </w:p>
        </w:tc>
        <w:tc>
          <w:tcPr>
            <w:tcW w:w="1100" w:type="dxa"/>
            <w:shd w:val="clear" w:color="auto" w:fill="FFFFFF"/>
            <w:tcMar>
              <w:top w:w="90" w:type="dxa"/>
              <w:left w:w="100" w:type="dxa"/>
              <w:bottom w:w="90" w:type="dxa"/>
              <w:right w:w="100" w:type="dxa"/>
            </w:tcMar>
            <w:vAlign w:val="center"/>
          </w:tcPr>
          <w:p w14:paraId="555E8947">
            <w:pPr>
              <w:spacing w:before="0" w:after="0" w:line="264" w:lineRule="auto"/>
              <w:ind w:firstLine="0"/>
              <w:jc w:val="center"/>
            </w:pPr>
            <w:r>
              <w:rPr>
                <w:sz w:val="17"/>
              </w:rPr>
              <w:t>58.1%</w:t>
            </w:r>
          </w:p>
        </w:tc>
        <w:tc>
          <w:tcPr>
            <w:tcW w:w="2676" w:type="dxa"/>
            <w:shd w:val="clear" w:color="auto" w:fill="FFFFFF"/>
            <w:tcMar>
              <w:top w:w="90" w:type="dxa"/>
              <w:left w:w="100" w:type="dxa"/>
              <w:bottom w:w="90" w:type="dxa"/>
              <w:right w:w="100" w:type="dxa"/>
            </w:tcMar>
            <w:vAlign w:val="center"/>
          </w:tcPr>
          <w:p w14:paraId="26C5573D">
            <w:pPr>
              <w:spacing w:before="0" w:after="0" w:line="264" w:lineRule="auto"/>
              <w:ind w:firstLine="0"/>
              <w:jc w:val="left"/>
            </w:pPr>
            <w:r>
              <w:rPr>
                <w:sz w:val="17"/>
              </w:rPr>
              <w:t>门店要求导盲犬入住额外缴纳押金、清洁费，或将导盲犬入住套用宠物收费规则，收费200—500元不等</w:t>
            </w:r>
          </w:p>
        </w:tc>
        <w:tc>
          <w:tcPr>
            <w:tcW w:w="2166" w:type="dxa"/>
            <w:shd w:val="clear" w:color="auto" w:fill="FFFFFF"/>
            <w:tcMar>
              <w:top w:w="90" w:type="dxa"/>
              <w:left w:w="100" w:type="dxa"/>
              <w:bottom w:w="90" w:type="dxa"/>
              <w:right w:w="100" w:type="dxa"/>
            </w:tcMar>
            <w:vAlign w:val="center"/>
          </w:tcPr>
          <w:p w14:paraId="7BB08EF5">
            <w:pPr>
              <w:spacing w:before="0" w:after="0" w:line="264" w:lineRule="auto"/>
              <w:ind w:firstLine="0"/>
              <w:jc w:val="left"/>
            </w:pPr>
            <w:r>
              <w:rPr>
                <w:sz w:val="17"/>
              </w:rPr>
              <w:t>“要交押金”“需要清洁费”“按宠物入住收费”“宠物友好房要收费”</w:t>
            </w:r>
          </w:p>
        </w:tc>
      </w:tr>
      <w:tr w14:paraId="346F36B6">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AFAF8"/>
            <w:tcMar>
              <w:top w:w="90" w:type="dxa"/>
              <w:left w:w="100" w:type="dxa"/>
              <w:bottom w:w="90" w:type="dxa"/>
              <w:right w:w="100" w:type="dxa"/>
            </w:tcMar>
            <w:vAlign w:val="center"/>
          </w:tcPr>
          <w:p w14:paraId="42964086">
            <w:pPr>
              <w:spacing w:before="0" w:after="0" w:line="264" w:lineRule="auto"/>
              <w:ind w:firstLine="0"/>
              <w:jc w:val="center"/>
            </w:pPr>
            <w:r>
              <w:rPr>
                <w:sz w:val="17"/>
              </w:rPr>
              <w:t>行为要求</w:t>
            </w:r>
          </w:p>
        </w:tc>
        <w:tc>
          <w:tcPr>
            <w:tcW w:w="1000" w:type="dxa"/>
            <w:shd w:val="clear" w:color="auto" w:fill="FAFAF8"/>
            <w:tcMar>
              <w:top w:w="90" w:type="dxa"/>
              <w:left w:w="100" w:type="dxa"/>
              <w:bottom w:w="90" w:type="dxa"/>
              <w:right w:w="100" w:type="dxa"/>
            </w:tcMar>
            <w:vAlign w:val="center"/>
          </w:tcPr>
          <w:p w14:paraId="19363D6F">
            <w:pPr>
              <w:spacing w:before="0" w:after="0" w:line="264" w:lineRule="auto"/>
              <w:ind w:firstLine="0"/>
              <w:jc w:val="center"/>
            </w:pPr>
            <w:r>
              <w:rPr>
                <w:sz w:val="17"/>
              </w:rPr>
              <w:t>26家</w:t>
            </w:r>
          </w:p>
        </w:tc>
        <w:tc>
          <w:tcPr>
            <w:tcW w:w="1100" w:type="dxa"/>
            <w:shd w:val="clear" w:color="auto" w:fill="FAFAF8"/>
            <w:tcMar>
              <w:top w:w="90" w:type="dxa"/>
              <w:left w:w="100" w:type="dxa"/>
              <w:bottom w:w="90" w:type="dxa"/>
              <w:right w:w="100" w:type="dxa"/>
            </w:tcMar>
            <w:vAlign w:val="center"/>
          </w:tcPr>
          <w:p w14:paraId="50DF7C40">
            <w:pPr>
              <w:spacing w:before="0" w:after="0" w:line="264" w:lineRule="auto"/>
              <w:ind w:firstLine="0"/>
              <w:jc w:val="center"/>
            </w:pPr>
            <w:r>
              <w:rPr>
                <w:sz w:val="17"/>
              </w:rPr>
              <w:t>30.2%</w:t>
            </w:r>
          </w:p>
        </w:tc>
        <w:tc>
          <w:tcPr>
            <w:tcW w:w="2676" w:type="dxa"/>
            <w:shd w:val="clear" w:color="auto" w:fill="FAFAF8"/>
            <w:tcMar>
              <w:top w:w="90" w:type="dxa"/>
              <w:left w:w="100" w:type="dxa"/>
              <w:bottom w:w="90" w:type="dxa"/>
              <w:right w:w="100" w:type="dxa"/>
            </w:tcMar>
            <w:vAlign w:val="center"/>
          </w:tcPr>
          <w:p w14:paraId="28AE948B">
            <w:pPr>
              <w:spacing w:before="0" w:after="0" w:line="264" w:lineRule="auto"/>
              <w:ind w:firstLine="0"/>
              <w:jc w:val="left"/>
            </w:pPr>
            <w:r>
              <w:rPr>
                <w:sz w:val="17"/>
              </w:rPr>
              <w:t>门店要求导盲犬晚上不叫、不上床、不破坏物品、不在房间大小便</w:t>
            </w:r>
          </w:p>
        </w:tc>
        <w:tc>
          <w:tcPr>
            <w:tcW w:w="2166" w:type="dxa"/>
            <w:shd w:val="clear" w:color="auto" w:fill="FAFAF8"/>
            <w:tcMar>
              <w:top w:w="90" w:type="dxa"/>
              <w:left w:w="100" w:type="dxa"/>
              <w:bottom w:w="90" w:type="dxa"/>
              <w:right w:w="100" w:type="dxa"/>
            </w:tcMar>
            <w:vAlign w:val="center"/>
          </w:tcPr>
          <w:p w14:paraId="4C85648C">
            <w:pPr>
              <w:spacing w:before="0" w:after="0" w:line="264" w:lineRule="auto"/>
              <w:ind w:firstLine="0"/>
              <w:jc w:val="left"/>
            </w:pPr>
            <w:r>
              <w:rPr>
                <w:sz w:val="17"/>
              </w:rPr>
              <w:t>“晚上不能叫”“不能上床”“不能咬坏东西”“不能在房间大小便”</w:t>
            </w:r>
          </w:p>
        </w:tc>
      </w:tr>
      <w:tr w14:paraId="3B2D388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2992B484">
            <w:pPr>
              <w:spacing w:before="0" w:after="0" w:line="264" w:lineRule="auto"/>
              <w:ind w:firstLine="0"/>
              <w:jc w:val="center"/>
            </w:pPr>
            <w:r>
              <w:rPr>
                <w:sz w:val="17"/>
              </w:rPr>
              <w:t>签署免责协议</w:t>
            </w:r>
          </w:p>
        </w:tc>
        <w:tc>
          <w:tcPr>
            <w:tcW w:w="1000" w:type="dxa"/>
            <w:shd w:val="clear" w:color="auto" w:fill="FFFFFF"/>
            <w:tcMar>
              <w:top w:w="90" w:type="dxa"/>
              <w:left w:w="100" w:type="dxa"/>
              <w:bottom w:w="90" w:type="dxa"/>
              <w:right w:w="100" w:type="dxa"/>
            </w:tcMar>
            <w:vAlign w:val="center"/>
          </w:tcPr>
          <w:p w14:paraId="7C2401F8">
            <w:pPr>
              <w:spacing w:before="0" w:after="0" w:line="264" w:lineRule="auto"/>
              <w:ind w:firstLine="0"/>
              <w:jc w:val="center"/>
            </w:pPr>
            <w:r>
              <w:rPr>
                <w:sz w:val="17"/>
              </w:rPr>
              <w:t>13家</w:t>
            </w:r>
          </w:p>
        </w:tc>
        <w:tc>
          <w:tcPr>
            <w:tcW w:w="1100" w:type="dxa"/>
            <w:shd w:val="clear" w:color="auto" w:fill="FFFFFF"/>
            <w:tcMar>
              <w:top w:w="90" w:type="dxa"/>
              <w:left w:w="100" w:type="dxa"/>
              <w:bottom w:w="90" w:type="dxa"/>
              <w:right w:w="100" w:type="dxa"/>
            </w:tcMar>
            <w:vAlign w:val="center"/>
          </w:tcPr>
          <w:p w14:paraId="0C6C7504">
            <w:pPr>
              <w:spacing w:before="0" w:after="0" w:line="264" w:lineRule="auto"/>
              <w:ind w:firstLine="0"/>
              <w:jc w:val="center"/>
            </w:pPr>
            <w:r>
              <w:rPr>
                <w:sz w:val="17"/>
              </w:rPr>
              <w:t>15.1%</w:t>
            </w:r>
          </w:p>
        </w:tc>
        <w:tc>
          <w:tcPr>
            <w:tcW w:w="2676" w:type="dxa"/>
            <w:shd w:val="clear" w:color="auto" w:fill="FFFFFF"/>
            <w:tcMar>
              <w:top w:w="90" w:type="dxa"/>
              <w:left w:w="100" w:type="dxa"/>
              <w:bottom w:w="90" w:type="dxa"/>
              <w:right w:w="100" w:type="dxa"/>
            </w:tcMar>
            <w:vAlign w:val="center"/>
          </w:tcPr>
          <w:p w14:paraId="37D1DFEA">
            <w:pPr>
              <w:spacing w:before="0" w:after="0" w:line="264" w:lineRule="auto"/>
              <w:ind w:firstLine="0"/>
              <w:jc w:val="left"/>
            </w:pPr>
            <w:r>
              <w:rPr>
                <w:sz w:val="17"/>
              </w:rPr>
              <w:t>门店要求导盲犬使用者入住前签署责任说明、承诺书、免责协议</w:t>
            </w:r>
          </w:p>
        </w:tc>
        <w:tc>
          <w:tcPr>
            <w:tcW w:w="2166" w:type="dxa"/>
            <w:shd w:val="clear" w:color="auto" w:fill="FFFFFF"/>
            <w:tcMar>
              <w:top w:w="90" w:type="dxa"/>
              <w:left w:w="100" w:type="dxa"/>
              <w:bottom w:w="90" w:type="dxa"/>
              <w:right w:w="100" w:type="dxa"/>
            </w:tcMar>
            <w:vAlign w:val="center"/>
          </w:tcPr>
          <w:p w14:paraId="0987D619">
            <w:pPr>
              <w:spacing w:before="0" w:after="0" w:line="264" w:lineRule="auto"/>
              <w:ind w:firstLine="0"/>
              <w:jc w:val="left"/>
            </w:pPr>
            <w:r>
              <w:rPr>
                <w:sz w:val="17"/>
              </w:rPr>
              <w:t>“需要签协议”“要签免责书”“要签责任承诺”</w:t>
            </w:r>
          </w:p>
        </w:tc>
      </w:tr>
      <w:tr w14:paraId="4F938695">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AFAF8"/>
            <w:tcMar>
              <w:top w:w="90" w:type="dxa"/>
              <w:left w:w="100" w:type="dxa"/>
              <w:bottom w:w="90" w:type="dxa"/>
              <w:right w:w="100" w:type="dxa"/>
            </w:tcMar>
            <w:vAlign w:val="center"/>
          </w:tcPr>
          <w:p w14:paraId="50DD61E9">
            <w:pPr>
              <w:spacing w:before="0" w:after="0" w:line="264" w:lineRule="auto"/>
              <w:ind w:firstLine="0"/>
              <w:jc w:val="center"/>
            </w:pPr>
            <w:r>
              <w:rPr>
                <w:sz w:val="17"/>
              </w:rPr>
              <w:t>限制活动范围</w:t>
            </w:r>
          </w:p>
        </w:tc>
        <w:tc>
          <w:tcPr>
            <w:tcW w:w="1000" w:type="dxa"/>
            <w:shd w:val="clear" w:color="auto" w:fill="FAFAF8"/>
            <w:tcMar>
              <w:top w:w="90" w:type="dxa"/>
              <w:left w:w="100" w:type="dxa"/>
              <w:bottom w:w="90" w:type="dxa"/>
              <w:right w:w="100" w:type="dxa"/>
            </w:tcMar>
            <w:vAlign w:val="center"/>
          </w:tcPr>
          <w:p w14:paraId="5802188F">
            <w:pPr>
              <w:spacing w:before="0" w:after="0" w:line="264" w:lineRule="auto"/>
              <w:ind w:firstLine="0"/>
              <w:jc w:val="center"/>
            </w:pPr>
            <w:r>
              <w:rPr>
                <w:sz w:val="17"/>
              </w:rPr>
              <w:t>12家</w:t>
            </w:r>
          </w:p>
        </w:tc>
        <w:tc>
          <w:tcPr>
            <w:tcW w:w="1100" w:type="dxa"/>
            <w:shd w:val="clear" w:color="auto" w:fill="FAFAF8"/>
            <w:tcMar>
              <w:top w:w="90" w:type="dxa"/>
              <w:left w:w="100" w:type="dxa"/>
              <w:bottom w:w="90" w:type="dxa"/>
              <w:right w:w="100" w:type="dxa"/>
            </w:tcMar>
            <w:vAlign w:val="center"/>
          </w:tcPr>
          <w:p w14:paraId="63751BE2">
            <w:pPr>
              <w:spacing w:before="0" w:after="0" w:line="264" w:lineRule="auto"/>
              <w:ind w:firstLine="0"/>
              <w:jc w:val="center"/>
            </w:pPr>
            <w:r>
              <w:rPr>
                <w:sz w:val="17"/>
              </w:rPr>
              <w:t>14.0%</w:t>
            </w:r>
          </w:p>
        </w:tc>
        <w:tc>
          <w:tcPr>
            <w:tcW w:w="2676" w:type="dxa"/>
            <w:shd w:val="clear" w:color="auto" w:fill="FAFAF8"/>
            <w:tcMar>
              <w:top w:w="90" w:type="dxa"/>
              <w:left w:w="100" w:type="dxa"/>
              <w:bottom w:w="90" w:type="dxa"/>
              <w:right w:w="100" w:type="dxa"/>
            </w:tcMar>
            <w:vAlign w:val="center"/>
          </w:tcPr>
          <w:p w14:paraId="1EBBA98F">
            <w:pPr>
              <w:spacing w:before="0" w:after="0" w:line="264" w:lineRule="auto"/>
              <w:ind w:firstLine="0"/>
              <w:jc w:val="left"/>
            </w:pPr>
            <w:r>
              <w:rPr>
                <w:sz w:val="17"/>
              </w:rPr>
              <w:t>门店限制导盲犬进入酒店公共区域、餐厅、电梯、走廊或其他空间，或要求导盲犬尽量停留在房间内</w:t>
            </w:r>
          </w:p>
        </w:tc>
        <w:tc>
          <w:tcPr>
            <w:tcW w:w="2166" w:type="dxa"/>
            <w:shd w:val="clear" w:color="auto" w:fill="FAFAF8"/>
            <w:tcMar>
              <w:top w:w="90" w:type="dxa"/>
              <w:left w:w="100" w:type="dxa"/>
              <w:bottom w:w="90" w:type="dxa"/>
              <w:right w:w="100" w:type="dxa"/>
            </w:tcMar>
            <w:vAlign w:val="center"/>
          </w:tcPr>
          <w:p w14:paraId="2064A17A">
            <w:pPr>
              <w:spacing w:before="0" w:after="0" w:line="264" w:lineRule="auto"/>
              <w:ind w:firstLine="0"/>
              <w:jc w:val="left"/>
            </w:pPr>
            <w:r>
              <w:rPr>
                <w:sz w:val="17"/>
              </w:rPr>
              <w:t>“只能在房间”“不能去公共区域”“不能进餐厅”“尽量不要出来”</w:t>
            </w:r>
          </w:p>
        </w:tc>
      </w:tr>
      <w:tr w14:paraId="0C45B09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699EE3FC">
            <w:pPr>
              <w:spacing w:before="0" w:after="0" w:line="264" w:lineRule="auto"/>
              <w:ind w:firstLine="0"/>
              <w:jc w:val="center"/>
            </w:pPr>
            <w:r>
              <w:rPr>
                <w:sz w:val="17"/>
              </w:rPr>
              <w:t>区别性房间安排</w:t>
            </w:r>
          </w:p>
        </w:tc>
        <w:tc>
          <w:tcPr>
            <w:tcW w:w="1000" w:type="dxa"/>
            <w:shd w:val="clear" w:color="auto" w:fill="FFFFFF"/>
            <w:tcMar>
              <w:top w:w="90" w:type="dxa"/>
              <w:left w:w="100" w:type="dxa"/>
              <w:bottom w:w="90" w:type="dxa"/>
              <w:right w:w="100" w:type="dxa"/>
            </w:tcMar>
            <w:vAlign w:val="center"/>
          </w:tcPr>
          <w:p w14:paraId="0F9D1CEE">
            <w:pPr>
              <w:spacing w:before="0" w:after="0" w:line="264" w:lineRule="auto"/>
              <w:ind w:firstLine="0"/>
              <w:jc w:val="center"/>
            </w:pPr>
            <w:r>
              <w:rPr>
                <w:sz w:val="17"/>
              </w:rPr>
              <w:t>7家</w:t>
            </w:r>
          </w:p>
        </w:tc>
        <w:tc>
          <w:tcPr>
            <w:tcW w:w="1100" w:type="dxa"/>
            <w:shd w:val="clear" w:color="auto" w:fill="FFFFFF"/>
            <w:tcMar>
              <w:top w:w="90" w:type="dxa"/>
              <w:left w:w="100" w:type="dxa"/>
              <w:bottom w:w="90" w:type="dxa"/>
              <w:right w:w="100" w:type="dxa"/>
            </w:tcMar>
            <w:vAlign w:val="center"/>
          </w:tcPr>
          <w:p w14:paraId="196B9CE5">
            <w:pPr>
              <w:spacing w:before="0" w:after="0" w:line="264" w:lineRule="auto"/>
              <w:ind w:firstLine="0"/>
              <w:jc w:val="center"/>
            </w:pPr>
            <w:r>
              <w:rPr>
                <w:sz w:val="17"/>
              </w:rPr>
              <w:t>8.1%</w:t>
            </w:r>
          </w:p>
        </w:tc>
        <w:tc>
          <w:tcPr>
            <w:tcW w:w="2676" w:type="dxa"/>
            <w:shd w:val="clear" w:color="auto" w:fill="FFFFFF"/>
            <w:tcMar>
              <w:top w:w="90" w:type="dxa"/>
              <w:left w:w="100" w:type="dxa"/>
              <w:bottom w:w="90" w:type="dxa"/>
              <w:right w:w="100" w:type="dxa"/>
            </w:tcMar>
            <w:vAlign w:val="center"/>
          </w:tcPr>
          <w:p w14:paraId="506ECD24">
            <w:pPr>
              <w:spacing w:before="0" w:after="0" w:line="264" w:lineRule="auto"/>
              <w:ind w:firstLine="0"/>
              <w:jc w:val="left"/>
            </w:pPr>
            <w:r>
              <w:rPr>
                <w:sz w:val="17"/>
              </w:rPr>
              <w:t>门店要求将导盲犬使用者安排至特定房间或相对边缘的位置，如尾房、一楼、远离其他住客、老旧房间、非地毯房间等</w:t>
            </w:r>
          </w:p>
        </w:tc>
        <w:tc>
          <w:tcPr>
            <w:tcW w:w="2166" w:type="dxa"/>
            <w:shd w:val="clear" w:color="auto" w:fill="FFFFFF"/>
            <w:tcMar>
              <w:top w:w="90" w:type="dxa"/>
              <w:left w:w="100" w:type="dxa"/>
              <w:bottom w:w="90" w:type="dxa"/>
              <w:right w:w="100" w:type="dxa"/>
            </w:tcMar>
            <w:vAlign w:val="center"/>
          </w:tcPr>
          <w:p w14:paraId="45C0B0A6">
            <w:pPr>
              <w:spacing w:before="0" w:after="0" w:line="264" w:lineRule="auto"/>
              <w:ind w:firstLine="0"/>
              <w:jc w:val="left"/>
            </w:pPr>
            <w:r>
              <w:rPr>
                <w:sz w:val="17"/>
              </w:rPr>
              <w:t>“只能安排尾房”“安排远一点的房间”“只能住一楼”“安排木地板房间”</w:t>
            </w:r>
          </w:p>
        </w:tc>
      </w:tr>
    </w:tbl>
    <w:p w14:paraId="689453FD"/>
    <w:p w14:paraId="1D670786">
      <w:pPr>
        <w:pStyle w:val="175"/>
      </w:pPr>
      <w:r>
        <w:t>统计口径｜同一家门店可能同时提出多项要求，例如既要求缴纳押金，又要求导盲犬不得上床或需签署免责协议。附带条件采用多选编码，一家门店可以计入多个类别。各类别占比均以86家附带条件接纳门店为分母，各项比例相加可能超过100%。</w:t>
      </w:r>
    </w:p>
    <w:p w14:paraId="149867C4">
      <w:pPr>
        <w:pStyle w:val="5"/>
      </w:pPr>
      <w:bookmarkStart w:id="60" w:name="_Toc9257"/>
      <w:r>
        <w:rPr>
          <w:rFonts w:ascii="Times New Roman" w:hAnsi="Times New Roman" w:eastAsia="黑体"/>
        </w:rPr>
        <w:t>（五）品牌政策信息清晰度评分</w:t>
      </w:r>
      <w:bookmarkEnd w:id="60"/>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965"/>
        <w:gridCol w:w="1531"/>
        <w:gridCol w:w="2269"/>
        <w:gridCol w:w="1644"/>
        <w:gridCol w:w="1871"/>
      </w:tblGrid>
      <w:tr w14:paraId="3D5611A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964" w:type="dxa"/>
            <w:shd w:val="clear" w:color="auto" w:fill="2C2C2C"/>
            <w:tcMar>
              <w:top w:w="90" w:type="dxa"/>
              <w:left w:w="100" w:type="dxa"/>
              <w:bottom w:w="90" w:type="dxa"/>
              <w:right w:w="100" w:type="dxa"/>
            </w:tcMar>
            <w:vAlign w:val="center"/>
          </w:tcPr>
          <w:p w14:paraId="35D173A4">
            <w:pPr>
              <w:keepNext/>
              <w:spacing w:before="0" w:after="0" w:line="269" w:lineRule="auto"/>
              <w:ind w:firstLine="0"/>
              <w:jc w:val="center"/>
            </w:pPr>
            <w:r>
              <w:rPr>
                <w:rFonts w:eastAsia="黑体"/>
                <w:b/>
                <w:color w:val="FFFFFF"/>
                <w:sz w:val="17"/>
              </w:rPr>
              <w:t>指标</w:t>
            </w:r>
          </w:p>
        </w:tc>
        <w:tc>
          <w:tcPr>
            <w:tcW w:w="1531" w:type="dxa"/>
            <w:shd w:val="clear" w:color="auto" w:fill="2C2C2C"/>
            <w:tcMar>
              <w:top w:w="90" w:type="dxa"/>
              <w:left w:w="100" w:type="dxa"/>
              <w:bottom w:w="90" w:type="dxa"/>
              <w:right w:w="100" w:type="dxa"/>
            </w:tcMar>
            <w:vAlign w:val="center"/>
          </w:tcPr>
          <w:p w14:paraId="3F4E1F36">
            <w:pPr>
              <w:keepNext/>
              <w:spacing w:before="0" w:after="0" w:line="269" w:lineRule="auto"/>
              <w:ind w:firstLine="0"/>
              <w:jc w:val="center"/>
            </w:pPr>
            <w:r>
              <w:rPr>
                <w:rFonts w:eastAsia="黑体"/>
                <w:b/>
                <w:color w:val="FFFFFF"/>
                <w:sz w:val="17"/>
              </w:rPr>
              <w:t>评分对象</w:t>
            </w:r>
          </w:p>
        </w:tc>
        <w:tc>
          <w:tcPr>
            <w:tcW w:w="2268" w:type="dxa"/>
            <w:shd w:val="clear" w:color="auto" w:fill="2C2C2C"/>
            <w:tcMar>
              <w:top w:w="90" w:type="dxa"/>
              <w:left w:w="100" w:type="dxa"/>
              <w:bottom w:w="90" w:type="dxa"/>
              <w:right w:w="100" w:type="dxa"/>
            </w:tcMar>
            <w:vAlign w:val="center"/>
          </w:tcPr>
          <w:p w14:paraId="33104325">
            <w:pPr>
              <w:keepNext/>
              <w:spacing w:before="0" w:after="0" w:line="269" w:lineRule="auto"/>
              <w:ind w:firstLine="0"/>
              <w:jc w:val="center"/>
            </w:pPr>
            <w:r>
              <w:rPr>
                <w:rFonts w:eastAsia="黑体"/>
                <w:b/>
                <w:color w:val="FFFFFF"/>
                <w:sz w:val="17"/>
              </w:rPr>
              <w:t>原始判断标准</w:t>
            </w:r>
          </w:p>
        </w:tc>
        <w:tc>
          <w:tcPr>
            <w:tcW w:w="1644" w:type="dxa"/>
            <w:shd w:val="clear" w:color="auto" w:fill="2C2C2C"/>
            <w:tcMar>
              <w:top w:w="90" w:type="dxa"/>
              <w:left w:w="100" w:type="dxa"/>
              <w:bottom w:w="90" w:type="dxa"/>
              <w:right w:w="100" w:type="dxa"/>
            </w:tcMar>
            <w:vAlign w:val="center"/>
          </w:tcPr>
          <w:p w14:paraId="11ECA4D5">
            <w:pPr>
              <w:keepNext/>
              <w:spacing w:before="0" w:after="0" w:line="269" w:lineRule="auto"/>
              <w:ind w:firstLine="0"/>
              <w:jc w:val="center"/>
            </w:pPr>
            <w:r>
              <w:rPr>
                <w:rFonts w:eastAsia="黑体"/>
                <w:b/>
                <w:color w:val="FFFFFF"/>
                <w:sz w:val="17"/>
              </w:rPr>
              <w:t>赋分方式</w:t>
            </w:r>
          </w:p>
        </w:tc>
        <w:tc>
          <w:tcPr>
            <w:tcW w:w="1871" w:type="dxa"/>
            <w:shd w:val="clear" w:color="auto" w:fill="2C2C2C"/>
            <w:tcMar>
              <w:top w:w="90" w:type="dxa"/>
              <w:left w:w="100" w:type="dxa"/>
              <w:bottom w:w="90" w:type="dxa"/>
              <w:right w:w="100" w:type="dxa"/>
            </w:tcMar>
            <w:vAlign w:val="center"/>
          </w:tcPr>
          <w:p w14:paraId="3E7C304F">
            <w:pPr>
              <w:keepNext/>
              <w:spacing w:before="0" w:after="0" w:line="269" w:lineRule="auto"/>
              <w:ind w:firstLine="0"/>
              <w:jc w:val="center"/>
            </w:pPr>
            <w:r>
              <w:rPr>
                <w:rFonts w:eastAsia="黑体"/>
                <w:b/>
                <w:color w:val="FFFFFF"/>
                <w:sz w:val="17"/>
              </w:rPr>
              <w:t>指标含义</w:t>
            </w:r>
          </w:p>
        </w:tc>
      </w:tr>
      <w:tr w14:paraId="563CF70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FFFFF"/>
            <w:tcMar>
              <w:top w:w="90" w:type="dxa"/>
              <w:left w:w="100" w:type="dxa"/>
              <w:bottom w:w="90" w:type="dxa"/>
              <w:right w:w="100" w:type="dxa"/>
            </w:tcMar>
            <w:vAlign w:val="center"/>
          </w:tcPr>
          <w:p w14:paraId="29EF198B">
            <w:pPr>
              <w:spacing w:before="0" w:after="0" w:line="269" w:lineRule="auto"/>
              <w:ind w:firstLine="0"/>
              <w:jc w:val="center"/>
            </w:pPr>
            <w:r>
              <w:rPr>
                <w:sz w:val="17"/>
              </w:rPr>
              <w:t>指标1：</w:t>
            </w:r>
            <w:r>
              <w:rPr>
                <w:sz w:val="17"/>
              </w:rPr>
              <w:br w:type="textWrapping"/>
            </w:r>
            <w:r>
              <w:rPr>
                <w:sz w:val="17"/>
              </w:rPr>
              <w:t>平台落实度</w:t>
            </w:r>
          </w:p>
        </w:tc>
        <w:tc>
          <w:tcPr>
            <w:tcW w:w="1531" w:type="dxa"/>
            <w:shd w:val="clear" w:color="auto" w:fill="FFFFFF"/>
            <w:tcMar>
              <w:top w:w="90" w:type="dxa"/>
              <w:left w:w="100" w:type="dxa"/>
              <w:bottom w:w="90" w:type="dxa"/>
              <w:right w:w="100" w:type="dxa"/>
            </w:tcMar>
            <w:vAlign w:val="center"/>
          </w:tcPr>
          <w:p w14:paraId="54B3AAFC">
            <w:pPr>
              <w:spacing w:before="0" w:after="0" w:line="269" w:lineRule="auto"/>
              <w:ind w:firstLine="0"/>
              <w:jc w:val="left"/>
            </w:pPr>
            <w:r>
              <w:rPr>
                <w:sz w:val="17"/>
              </w:rPr>
              <w:t>各品牌样本门店在预订平台上服务犬或导盲犬标注情况</w:t>
            </w:r>
          </w:p>
        </w:tc>
        <w:tc>
          <w:tcPr>
            <w:tcW w:w="2268" w:type="dxa"/>
            <w:shd w:val="clear" w:color="auto" w:fill="FFFFFF"/>
            <w:tcMar>
              <w:top w:w="90" w:type="dxa"/>
              <w:left w:w="100" w:type="dxa"/>
              <w:bottom w:w="90" w:type="dxa"/>
              <w:right w:w="100" w:type="dxa"/>
            </w:tcMar>
            <w:vAlign w:val="center"/>
          </w:tcPr>
          <w:p w14:paraId="0BB355F3">
            <w:pPr>
              <w:spacing w:before="0" w:after="0" w:line="269" w:lineRule="auto"/>
              <w:ind w:firstLine="0"/>
              <w:jc w:val="left"/>
            </w:pPr>
            <w:r>
              <w:rPr>
                <w:sz w:val="17"/>
              </w:rPr>
              <w:t>以门店为单位进行初始记录：明确允许导盲犬或服务型动物入住，记为1分；未明确说明、信息缺失或表述模糊，记为0分；明确标注禁止携带服务型动物或出现类似拒绝性表述，记为-1分。随后计算各品牌门店的算术平均值</w:t>
            </w:r>
          </w:p>
        </w:tc>
        <w:tc>
          <w:tcPr>
            <w:tcW w:w="1644" w:type="dxa"/>
            <w:shd w:val="clear" w:color="auto" w:fill="FFFFFF"/>
            <w:tcMar>
              <w:top w:w="90" w:type="dxa"/>
              <w:left w:w="100" w:type="dxa"/>
              <w:bottom w:w="90" w:type="dxa"/>
              <w:right w:w="100" w:type="dxa"/>
            </w:tcMar>
            <w:vAlign w:val="center"/>
          </w:tcPr>
          <w:p w14:paraId="79F4FAEE">
            <w:pPr>
              <w:spacing w:before="0" w:after="0" w:line="269" w:lineRule="auto"/>
              <w:ind w:firstLine="0"/>
              <w:jc w:val="left"/>
            </w:pPr>
            <w:r>
              <w:rPr>
                <w:sz w:val="17"/>
              </w:rPr>
              <w:t>由于该指标先形成品牌均值，若直接与其他离散指标相加，平台端表现的区分度会被削弱，因此采用区间阈值映射法：品牌均值≥0.10，得2分；0.00≤品牌均值＜0.10，得1分；-0.10＜品牌均值＜0.00，得-1分；品牌均值≤-0.10，得-2分</w:t>
            </w:r>
          </w:p>
        </w:tc>
        <w:tc>
          <w:tcPr>
            <w:tcW w:w="1871" w:type="dxa"/>
            <w:shd w:val="clear" w:color="auto" w:fill="FFFFFF"/>
            <w:tcMar>
              <w:top w:w="90" w:type="dxa"/>
              <w:left w:w="100" w:type="dxa"/>
              <w:bottom w:w="90" w:type="dxa"/>
              <w:right w:w="100" w:type="dxa"/>
            </w:tcMar>
            <w:vAlign w:val="center"/>
          </w:tcPr>
          <w:p w14:paraId="464B6A61">
            <w:pPr>
              <w:spacing w:before="0" w:after="0" w:line="269" w:lineRule="auto"/>
              <w:ind w:firstLine="0"/>
              <w:jc w:val="left"/>
            </w:pPr>
            <w:r>
              <w:rPr>
                <w:rFonts w:hint="eastAsia"/>
                <w:sz w:val="17"/>
              </w:rPr>
              <w:t>反映平台端是否向使用者提供清楚、友好、稳定的导盲犬入住信息。分值越高，说明积极公示越充分；分值越低，说明平台端存在更多信息缺失、模糊或拒绝性标注</w:t>
            </w:r>
          </w:p>
        </w:tc>
      </w:tr>
      <w:tr w14:paraId="6C0A1C7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AFAF8"/>
            <w:tcMar>
              <w:top w:w="90" w:type="dxa"/>
              <w:left w:w="100" w:type="dxa"/>
              <w:bottom w:w="90" w:type="dxa"/>
              <w:right w:w="100" w:type="dxa"/>
            </w:tcMar>
            <w:vAlign w:val="center"/>
          </w:tcPr>
          <w:p w14:paraId="7BDEE2E5">
            <w:pPr>
              <w:spacing w:before="0" w:after="0" w:line="269" w:lineRule="auto"/>
              <w:ind w:firstLine="0"/>
              <w:jc w:val="center"/>
            </w:pPr>
            <w:r>
              <w:rPr>
                <w:sz w:val="17"/>
              </w:rPr>
              <w:t>指标2：</w:t>
            </w:r>
            <w:r>
              <w:rPr>
                <w:sz w:val="17"/>
              </w:rPr>
              <w:br w:type="textWrapping"/>
            </w:r>
            <w:r>
              <w:rPr>
                <w:sz w:val="17"/>
              </w:rPr>
              <w:t>总部接待规则明确度</w:t>
            </w:r>
          </w:p>
        </w:tc>
        <w:tc>
          <w:tcPr>
            <w:tcW w:w="1531" w:type="dxa"/>
            <w:shd w:val="clear" w:color="auto" w:fill="FAFAF8"/>
            <w:tcMar>
              <w:top w:w="90" w:type="dxa"/>
              <w:left w:w="100" w:type="dxa"/>
              <w:bottom w:w="90" w:type="dxa"/>
              <w:right w:w="100" w:type="dxa"/>
            </w:tcMar>
            <w:vAlign w:val="center"/>
          </w:tcPr>
          <w:p w14:paraId="30B37356">
            <w:pPr>
              <w:spacing w:before="0" w:after="0" w:line="269" w:lineRule="auto"/>
              <w:ind w:firstLine="0"/>
              <w:jc w:val="left"/>
            </w:pPr>
            <w:r>
              <w:rPr>
                <w:sz w:val="17"/>
              </w:rPr>
              <w:t>品牌或集团总部对导盲犬入住是否有明确规则</w:t>
            </w:r>
          </w:p>
        </w:tc>
        <w:tc>
          <w:tcPr>
            <w:tcW w:w="2268" w:type="dxa"/>
            <w:shd w:val="clear" w:color="auto" w:fill="FAFAF8"/>
            <w:tcMar>
              <w:top w:w="90" w:type="dxa"/>
              <w:left w:w="100" w:type="dxa"/>
              <w:bottom w:w="90" w:type="dxa"/>
              <w:right w:w="100" w:type="dxa"/>
            </w:tcMar>
            <w:vAlign w:val="center"/>
          </w:tcPr>
          <w:p w14:paraId="6F5C85BA">
            <w:pPr>
              <w:spacing w:before="0" w:after="0" w:line="269" w:lineRule="auto"/>
              <w:ind w:firstLine="0"/>
              <w:jc w:val="left"/>
            </w:pPr>
            <w:r>
              <w:rPr>
                <w:sz w:val="17"/>
              </w:rPr>
              <w:t>有明确内部文件或强制性要求，例如“不允许不接待”“允许携带导盲犬入住”等，得2分；无明确公文，但总部客服口头表示会协助入住、遇阻可协调，得1分；总部表示无硬性规定，或以具体门店为准，得-1分</w:t>
            </w:r>
          </w:p>
        </w:tc>
        <w:tc>
          <w:tcPr>
            <w:tcW w:w="1644" w:type="dxa"/>
            <w:shd w:val="clear" w:color="auto" w:fill="FAFAF8"/>
            <w:tcMar>
              <w:top w:w="90" w:type="dxa"/>
              <w:left w:w="100" w:type="dxa"/>
              <w:bottom w:w="90" w:type="dxa"/>
              <w:right w:w="100" w:type="dxa"/>
            </w:tcMar>
            <w:vAlign w:val="center"/>
          </w:tcPr>
          <w:p w14:paraId="4B832875">
            <w:pPr>
              <w:spacing w:before="0" w:after="0" w:line="269" w:lineRule="auto"/>
              <w:ind w:firstLine="0"/>
              <w:jc w:val="center"/>
            </w:pPr>
            <w:r>
              <w:rPr>
                <w:sz w:val="17"/>
              </w:rPr>
              <w:t>直接赋分</w:t>
            </w:r>
          </w:p>
        </w:tc>
        <w:tc>
          <w:tcPr>
            <w:tcW w:w="1871" w:type="dxa"/>
            <w:shd w:val="clear" w:color="auto" w:fill="FAFAF8"/>
            <w:tcMar>
              <w:top w:w="90" w:type="dxa"/>
              <w:left w:w="100" w:type="dxa"/>
              <w:bottom w:w="90" w:type="dxa"/>
              <w:right w:w="100" w:type="dxa"/>
            </w:tcMar>
            <w:vAlign w:val="center"/>
          </w:tcPr>
          <w:p w14:paraId="01B3DBF6">
            <w:pPr>
              <w:spacing w:before="0" w:after="0" w:line="269" w:lineRule="auto"/>
              <w:ind w:firstLine="0"/>
              <w:jc w:val="left"/>
            </w:pPr>
            <w:r>
              <w:rPr>
                <w:sz w:val="17"/>
              </w:rPr>
              <w:t>反映总部层面对导盲犬入住的制度支持强度，以及门店是否有明确执行依据</w:t>
            </w:r>
          </w:p>
        </w:tc>
      </w:tr>
      <w:tr w14:paraId="6E2423A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FFFFF"/>
            <w:tcMar>
              <w:top w:w="90" w:type="dxa"/>
              <w:left w:w="100" w:type="dxa"/>
              <w:bottom w:w="90" w:type="dxa"/>
              <w:right w:w="100" w:type="dxa"/>
            </w:tcMar>
            <w:vAlign w:val="center"/>
          </w:tcPr>
          <w:p w14:paraId="5AF318F6">
            <w:pPr>
              <w:spacing w:before="0" w:after="0" w:line="269" w:lineRule="auto"/>
              <w:ind w:firstLine="0"/>
              <w:jc w:val="center"/>
            </w:pPr>
            <w:r>
              <w:rPr>
                <w:sz w:val="17"/>
              </w:rPr>
              <w:t>指标3：</w:t>
            </w:r>
            <w:r>
              <w:rPr>
                <w:sz w:val="17"/>
              </w:rPr>
              <w:br w:type="textWrapping"/>
            </w:r>
            <w:r>
              <w:rPr>
                <w:sz w:val="17"/>
              </w:rPr>
              <w:t>查验标准清晰度</w:t>
            </w:r>
          </w:p>
        </w:tc>
        <w:tc>
          <w:tcPr>
            <w:tcW w:w="1531" w:type="dxa"/>
            <w:shd w:val="clear" w:color="auto" w:fill="FFFFFF"/>
            <w:tcMar>
              <w:top w:w="90" w:type="dxa"/>
              <w:left w:w="100" w:type="dxa"/>
              <w:bottom w:w="90" w:type="dxa"/>
              <w:right w:w="100" w:type="dxa"/>
            </w:tcMar>
            <w:vAlign w:val="center"/>
          </w:tcPr>
          <w:p w14:paraId="3B117F64">
            <w:pPr>
              <w:spacing w:before="0" w:after="0" w:line="269" w:lineRule="auto"/>
              <w:ind w:firstLine="0"/>
              <w:jc w:val="left"/>
            </w:pPr>
            <w:r>
              <w:rPr>
                <w:sz w:val="17"/>
              </w:rPr>
              <w:t>品牌或客服能否说明导盲犬入住需要提供哪些材料</w:t>
            </w:r>
          </w:p>
        </w:tc>
        <w:tc>
          <w:tcPr>
            <w:tcW w:w="2268" w:type="dxa"/>
            <w:shd w:val="clear" w:color="auto" w:fill="FFFFFF"/>
            <w:tcMar>
              <w:top w:w="90" w:type="dxa"/>
              <w:left w:w="100" w:type="dxa"/>
              <w:bottom w:w="90" w:type="dxa"/>
              <w:right w:w="100" w:type="dxa"/>
            </w:tcMar>
            <w:vAlign w:val="center"/>
          </w:tcPr>
          <w:p w14:paraId="2950F9FE">
            <w:pPr>
              <w:spacing w:before="0" w:after="0" w:line="269" w:lineRule="auto"/>
              <w:ind w:firstLine="0"/>
              <w:jc w:val="left"/>
            </w:pPr>
            <w:r>
              <w:rPr>
                <w:sz w:val="17"/>
              </w:rPr>
              <w:t>能明确说明查验标准，例如残疾人证、导盲犬证、疫苗证明等，得1分；笼统表示需要证件，但无法说明具体材料，得0分；完全未提及查验标准，或客服明确表示不知道如何处理，得-1分</w:t>
            </w:r>
          </w:p>
        </w:tc>
        <w:tc>
          <w:tcPr>
            <w:tcW w:w="1644" w:type="dxa"/>
            <w:shd w:val="clear" w:color="auto" w:fill="FFFFFF"/>
            <w:tcMar>
              <w:top w:w="90" w:type="dxa"/>
              <w:left w:w="100" w:type="dxa"/>
              <w:bottom w:w="90" w:type="dxa"/>
              <w:right w:w="100" w:type="dxa"/>
            </w:tcMar>
            <w:vAlign w:val="center"/>
          </w:tcPr>
          <w:p w14:paraId="229356DF">
            <w:pPr>
              <w:spacing w:before="0" w:after="0" w:line="269" w:lineRule="auto"/>
              <w:ind w:firstLine="0"/>
              <w:jc w:val="center"/>
            </w:pPr>
            <w:r>
              <w:rPr>
                <w:sz w:val="17"/>
              </w:rPr>
              <w:t>直接赋分</w:t>
            </w:r>
          </w:p>
        </w:tc>
        <w:tc>
          <w:tcPr>
            <w:tcW w:w="1871" w:type="dxa"/>
            <w:shd w:val="clear" w:color="auto" w:fill="FFFFFF"/>
            <w:tcMar>
              <w:top w:w="90" w:type="dxa"/>
              <w:left w:w="100" w:type="dxa"/>
              <w:bottom w:w="90" w:type="dxa"/>
              <w:right w:w="100" w:type="dxa"/>
            </w:tcMar>
            <w:vAlign w:val="center"/>
          </w:tcPr>
          <w:p w14:paraId="09787B70">
            <w:pPr>
              <w:spacing w:before="0" w:after="0" w:line="269" w:lineRule="auto"/>
              <w:ind w:firstLine="0"/>
              <w:jc w:val="left"/>
            </w:pPr>
            <w:r>
              <w:rPr>
                <w:rFonts w:hint="eastAsia"/>
                <w:sz w:val="17"/>
              </w:rPr>
              <w:t>反映使用者入住前能否获得明确准备信息，也反映一线门店是否有可操作的核验依据</w:t>
            </w:r>
          </w:p>
        </w:tc>
      </w:tr>
      <w:tr w14:paraId="1FF8C433">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AFAF8"/>
            <w:tcMar>
              <w:top w:w="90" w:type="dxa"/>
              <w:left w:w="100" w:type="dxa"/>
              <w:bottom w:w="90" w:type="dxa"/>
              <w:right w:w="100" w:type="dxa"/>
            </w:tcMar>
            <w:vAlign w:val="center"/>
          </w:tcPr>
          <w:p w14:paraId="7B7948DC">
            <w:pPr>
              <w:spacing w:before="0" w:after="0" w:line="269" w:lineRule="auto"/>
              <w:ind w:firstLine="0"/>
              <w:jc w:val="center"/>
            </w:pPr>
            <w:r>
              <w:rPr>
                <w:sz w:val="17"/>
              </w:rPr>
              <w:t>综合总分</w:t>
            </w:r>
          </w:p>
        </w:tc>
        <w:tc>
          <w:tcPr>
            <w:tcW w:w="1531" w:type="dxa"/>
            <w:shd w:val="clear" w:color="auto" w:fill="FAFAF8"/>
            <w:tcMar>
              <w:top w:w="90" w:type="dxa"/>
              <w:left w:w="100" w:type="dxa"/>
              <w:bottom w:w="90" w:type="dxa"/>
              <w:right w:w="100" w:type="dxa"/>
            </w:tcMar>
            <w:vAlign w:val="center"/>
          </w:tcPr>
          <w:p w14:paraId="76ED15EE">
            <w:pPr>
              <w:spacing w:before="0" w:after="0" w:line="269" w:lineRule="auto"/>
              <w:ind w:firstLine="0"/>
              <w:jc w:val="center"/>
            </w:pPr>
            <w:r>
              <w:rPr>
                <w:sz w:val="17"/>
              </w:rPr>
              <w:t>三个指标合并后的品牌政策清晰度</w:t>
            </w:r>
          </w:p>
        </w:tc>
        <w:tc>
          <w:tcPr>
            <w:tcW w:w="2268" w:type="dxa"/>
            <w:shd w:val="clear" w:color="auto" w:fill="FAFAF8"/>
            <w:tcMar>
              <w:top w:w="90" w:type="dxa"/>
              <w:left w:w="100" w:type="dxa"/>
              <w:bottom w:w="90" w:type="dxa"/>
              <w:right w:w="100" w:type="dxa"/>
            </w:tcMar>
            <w:vAlign w:val="center"/>
          </w:tcPr>
          <w:p w14:paraId="006F4EF7">
            <w:pPr>
              <w:spacing w:before="0" w:after="0" w:line="269" w:lineRule="auto"/>
              <w:ind w:firstLine="0"/>
              <w:jc w:val="center"/>
            </w:pPr>
            <w:r>
              <w:rPr>
                <w:sz w:val="17"/>
              </w:rPr>
              <w:t>——</w:t>
            </w:r>
          </w:p>
        </w:tc>
        <w:tc>
          <w:tcPr>
            <w:tcW w:w="1644" w:type="dxa"/>
            <w:shd w:val="clear" w:color="auto" w:fill="FAFAF8"/>
            <w:tcMar>
              <w:top w:w="90" w:type="dxa"/>
              <w:left w:w="100" w:type="dxa"/>
              <w:bottom w:w="90" w:type="dxa"/>
              <w:right w:w="100" w:type="dxa"/>
            </w:tcMar>
            <w:vAlign w:val="center"/>
          </w:tcPr>
          <w:p w14:paraId="493504D0">
            <w:pPr>
              <w:spacing w:before="0" w:after="0" w:line="269" w:lineRule="auto"/>
              <w:ind w:firstLine="0"/>
              <w:jc w:val="left"/>
            </w:pPr>
            <w:r>
              <w:rPr>
                <w:sz w:val="17"/>
              </w:rPr>
              <w:t xml:space="preserve">综合总分=指标1平台落实度映射分+</w:t>
            </w:r>
            <w:r>
              <w:rPr>
                <w:sz w:val="17"/>
              </w:rPr>
              <w:t xml:space="preserve">指标2总部接待规则明确度得分</w:t>
            </w:r>
            <w:r>
              <w:rPr>
                <w:sz w:val="17"/>
              </w:rPr>
              <w:t xml:space="preserve">+指标3</w:t>
            </w:r>
            <w:r>
              <w:rPr>
                <w:sz w:val="17"/>
              </w:rPr>
              <w:t xml:space="preserve">查验标准清晰度得分。理论范围为-4分至5分</w:t>
            </w:r>
          </w:p>
        </w:tc>
        <w:tc>
          <w:tcPr>
            <w:tcW w:w="1871" w:type="dxa"/>
            <w:shd w:val="clear" w:color="auto" w:fill="FAFAF8"/>
            <w:tcMar>
              <w:top w:w="90" w:type="dxa"/>
              <w:left w:w="100" w:type="dxa"/>
              <w:bottom w:w="90" w:type="dxa"/>
              <w:right w:w="100" w:type="dxa"/>
            </w:tcMar>
            <w:vAlign w:val="center"/>
          </w:tcPr>
          <w:p w14:paraId="12068A6A">
            <w:pPr>
              <w:spacing w:before="0" w:after="0" w:line="269" w:lineRule="auto"/>
              <w:ind w:firstLine="0"/>
              <w:jc w:val="left"/>
            </w:pPr>
            <w:r>
              <w:rPr>
                <w:sz w:val="17"/>
              </w:rPr>
              <w:t>反映品牌政策在平台、总部和查验标准三个层面的整体清晰程度</w:t>
            </w:r>
          </w:p>
        </w:tc>
      </w:tr>
    </w:tbl>
    <w:p w14:paraId="258B9B24"/>
    <w:p w14:paraId="77CB79E9">
      <w:pPr>
        <w:pStyle w:val="5"/>
      </w:pPr>
      <w:bookmarkStart w:id="61" w:name="_Toc3922"/>
      <w:r>
        <w:rPr>
          <w:rFonts w:ascii="Times New Roman" w:hAnsi="Times New Roman" w:eastAsia="黑体"/>
        </w:rPr>
        <w:t>（六）集团客服政策熟悉度评分</w:t>
      </w:r>
      <w:bookmarkEnd w:id="61"/>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134"/>
        <w:gridCol w:w="1815"/>
        <w:gridCol w:w="2495"/>
        <w:gridCol w:w="2836"/>
      </w:tblGrid>
      <w:tr w14:paraId="626573B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134" w:type="dxa"/>
            <w:shd w:val="clear" w:color="auto" w:fill="2C2C2C"/>
            <w:tcMar>
              <w:top w:w="90" w:type="dxa"/>
              <w:left w:w="100" w:type="dxa"/>
              <w:bottom w:w="90" w:type="dxa"/>
              <w:right w:w="100" w:type="dxa"/>
            </w:tcMar>
            <w:vAlign w:val="center"/>
          </w:tcPr>
          <w:p w14:paraId="5410C492">
            <w:pPr>
              <w:keepNext/>
              <w:spacing w:before="0" w:after="0" w:line="269" w:lineRule="auto"/>
              <w:ind w:firstLine="0"/>
              <w:jc w:val="center"/>
            </w:pPr>
            <w:r>
              <w:rPr>
                <w:rFonts w:eastAsia="黑体"/>
                <w:b/>
                <w:color w:val="FFFFFF"/>
                <w:sz w:val="17"/>
              </w:rPr>
              <w:t>指标</w:t>
            </w:r>
          </w:p>
        </w:tc>
        <w:tc>
          <w:tcPr>
            <w:tcW w:w="1814" w:type="dxa"/>
            <w:shd w:val="clear" w:color="auto" w:fill="2C2C2C"/>
            <w:tcMar>
              <w:top w:w="90" w:type="dxa"/>
              <w:left w:w="100" w:type="dxa"/>
              <w:bottom w:w="90" w:type="dxa"/>
              <w:right w:w="100" w:type="dxa"/>
            </w:tcMar>
            <w:vAlign w:val="center"/>
          </w:tcPr>
          <w:p w14:paraId="225208A8">
            <w:pPr>
              <w:keepNext/>
              <w:spacing w:before="0" w:after="0" w:line="269" w:lineRule="auto"/>
              <w:ind w:firstLine="0"/>
              <w:jc w:val="center"/>
            </w:pPr>
            <w:r>
              <w:rPr>
                <w:rFonts w:eastAsia="黑体"/>
                <w:b/>
                <w:color w:val="FFFFFF"/>
                <w:sz w:val="17"/>
              </w:rPr>
              <w:t>评分对象</w:t>
            </w:r>
          </w:p>
        </w:tc>
        <w:tc>
          <w:tcPr>
            <w:tcW w:w="2494" w:type="dxa"/>
            <w:shd w:val="clear" w:color="auto" w:fill="2C2C2C"/>
            <w:tcMar>
              <w:top w:w="90" w:type="dxa"/>
              <w:left w:w="100" w:type="dxa"/>
              <w:bottom w:w="90" w:type="dxa"/>
              <w:right w:w="100" w:type="dxa"/>
            </w:tcMar>
            <w:vAlign w:val="center"/>
          </w:tcPr>
          <w:p w14:paraId="4022D2EC">
            <w:pPr>
              <w:keepNext/>
              <w:spacing w:before="0" w:after="0" w:line="269" w:lineRule="auto"/>
              <w:ind w:firstLine="0"/>
              <w:jc w:val="center"/>
            </w:pPr>
            <w:r>
              <w:rPr>
                <w:rFonts w:eastAsia="黑体"/>
                <w:b/>
                <w:color w:val="FFFFFF"/>
                <w:sz w:val="17"/>
              </w:rPr>
              <w:t>赋分方式</w:t>
            </w:r>
          </w:p>
        </w:tc>
        <w:tc>
          <w:tcPr>
            <w:tcW w:w="2835" w:type="dxa"/>
            <w:shd w:val="clear" w:color="auto" w:fill="2C2C2C"/>
            <w:tcMar>
              <w:top w:w="90" w:type="dxa"/>
              <w:left w:w="100" w:type="dxa"/>
              <w:bottom w:w="90" w:type="dxa"/>
              <w:right w:w="100" w:type="dxa"/>
            </w:tcMar>
            <w:vAlign w:val="center"/>
          </w:tcPr>
          <w:p w14:paraId="130282ED">
            <w:pPr>
              <w:keepNext/>
              <w:spacing w:before="0" w:after="0" w:line="269" w:lineRule="auto"/>
              <w:ind w:firstLine="0"/>
              <w:jc w:val="center"/>
            </w:pPr>
            <w:r>
              <w:rPr>
                <w:rFonts w:eastAsia="黑体"/>
                <w:b/>
                <w:color w:val="FFFFFF"/>
                <w:sz w:val="17"/>
              </w:rPr>
              <w:t>指标含义</w:t>
            </w:r>
          </w:p>
        </w:tc>
      </w:tr>
      <w:tr w14:paraId="2D2DA26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9164252">
            <w:pPr>
              <w:spacing w:before="0" w:after="0" w:line="269" w:lineRule="auto"/>
              <w:ind w:firstLine="0"/>
              <w:jc w:val="center"/>
            </w:pPr>
            <w:r>
              <w:rPr>
                <w:sz w:val="17"/>
              </w:rPr>
              <w:t>指标4：</w:t>
            </w:r>
            <w:r>
              <w:rPr>
                <w:sz w:val="17"/>
              </w:rPr>
              <w:br w:type="textWrapping"/>
            </w:r>
            <w:r>
              <w:rPr>
                <w:sz w:val="17"/>
              </w:rPr>
              <w:t>政策熟悉度</w:t>
            </w:r>
          </w:p>
        </w:tc>
        <w:tc>
          <w:tcPr>
            <w:tcW w:w="1814" w:type="dxa"/>
            <w:shd w:val="clear" w:color="auto" w:fill="FFFFFF"/>
            <w:tcMar>
              <w:top w:w="90" w:type="dxa"/>
              <w:left w:w="100" w:type="dxa"/>
              <w:bottom w:w="90" w:type="dxa"/>
              <w:right w:w="100" w:type="dxa"/>
            </w:tcMar>
            <w:vAlign w:val="center"/>
          </w:tcPr>
          <w:p w14:paraId="15FB3F20">
            <w:pPr>
              <w:spacing w:before="0" w:after="0" w:line="269" w:lineRule="auto"/>
              <w:ind w:firstLine="0"/>
              <w:jc w:val="left"/>
            </w:pPr>
            <w:r>
              <w:rPr>
                <w:rFonts w:hint="eastAsia"/>
                <w:sz w:val="17"/>
              </w:rPr>
              <w:t>集团或品牌官方客服是否了解导盲犬入住政策，并能准确回应咨询者咨询</w:t>
            </w:r>
          </w:p>
        </w:tc>
        <w:tc>
          <w:tcPr>
            <w:tcW w:w="2494" w:type="dxa"/>
            <w:shd w:val="clear" w:color="auto" w:fill="FFFFFF"/>
            <w:tcMar>
              <w:top w:w="90" w:type="dxa"/>
              <w:left w:w="100" w:type="dxa"/>
              <w:bottom w:w="90" w:type="dxa"/>
              <w:right w:w="100" w:type="dxa"/>
            </w:tcMar>
            <w:vAlign w:val="center"/>
          </w:tcPr>
          <w:p w14:paraId="62B1615A">
            <w:pPr>
              <w:spacing w:before="0" w:after="0" w:line="269" w:lineRule="auto"/>
              <w:ind w:firstLine="0"/>
              <w:jc w:val="left"/>
            </w:pPr>
            <w:r>
              <w:rPr>
                <w:sz w:val="17"/>
              </w:rPr>
              <w:t>客服直接知晓导盲犬入住政策，并能准确回答，得1分；客服需要较长时间查阅资料或请示主管后才能答复，得0分；客服查阅后仍给出错误信息，例如将导盲犬视为普通宠物，得-1分</w:t>
            </w:r>
          </w:p>
        </w:tc>
        <w:tc>
          <w:tcPr>
            <w:tcW w:w="2835" w:type="dxa"/>
            <w:shd w:val="clear" w:color="auto" w:fill="FFFFFF"/>
            <w:tcMar>
              <w:top w:w="90" w:type="dxa"/>
              <w:left w:w="100" w:type="dxa"/>
              <w:bottom w:w="90" w:type="dxa"/>
              <w:right w:w="100" w:type="dxa"/>
            </w:tcMar>
            <w:vAlign w:val="center"/>
          </w:tcPr>
          <w:p w14:paraId="49F09269">
            <w:pPr>
              <w:spacing w:before="0" w:after="0" w:line="269" w:lineRule="auto"/>
              <w:ind w:firstLine="0"/>
              <w:jc w:val="left"/>
            </w:pPr>
            <w:r>
              <w:rPr>
                <w:rFonts w:hint="eastAsia"/>
                <w:sz w:val="17"/>
              </w:rPr>
              <w:t>反映客服是否具备基本政策识别能力。分值越高，说明客服越能快速、准确地区分导盲犬入住问题与普通宠物入住问题；分值越低，说明咨询者越可能在客服环节遭遇错误解释或不确定回应</w:t>
            </w:r>
          </w:p>
        </w:tc>
      </w:tr>
      <w:tr w14:paraId="78267E6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4ABB5414">
            <w:pPr>
              <w:spacing w:before="0" w:after="0" w:line="269" w:lineRule="auto"/>
              <w:ind w:firstLine="0"/>
              <w:jc w:val="center"/>
            </w:pPr>
            <w:r>
              <w:rPr>
                <w:sz w:val="17"/>
              </w:rPr>
              <w:t>指标5：</w:t>
            </w:r>
            <w:r>
              <w:rPr>
                <w:sz w:val="17"/>
              </w:rPr>
              <w:br w:type="textWrapping"/>
            </w:r>
            <w:r>
              <w:rPr>
                <w:sz w:val="17"/>
              </w:rPr>
              <w:t>主动回应</w:t>
            </w:r>
          </w:p>
        </w:tc>
        <w:tc>
          <w:tcPr>
            <w:tcW w:w="1814" w:type="dxa"/>
            <w:shd w:val="clear" w:color="auto" w:fill="FAFAF8"/>
            <w:tcMar>
              <w:top w:w="90" w:type="dxa"/>
              <w:left w:w="100" w:type="dxa"/>
              <w:bottom w:w="90" w:type="dxa"/>
              <w:right w:w="100" w:type="dxa"/>
            </w:tcMar>
            <w:vAlign w:val="center"/>
          </w:tcPr>
          <w:p w14:paraId="0F95723D">
            <w:pPr>
              <w:spacing w:before="0" w:after="0" w:line="269" w:lineRule="auto"/>
              <w:ind w:firstLine="0"/>
              <w:jc w:val="left"/>
            </w:pPr>
            <w:r>
              <w:rPr>
                <w:sz w:val="17"/>
              </w:rPr>
              <w:t>集团或品牌官方客服是否能够主动、清楚地提供入住指引，并展现协助意愿</w:t>
            </w:r>
          </w:p>
        </w:tc>
        <w:tc>
          <w:tcPr>
            <w:tcW w:w="2494" w:type="dxa"/>
            <w:shd w:val="clear" w:color="auto" w:fill="FAFAF8"/>
            <w:tcMar>
              <w:top w:w="90" w:type="dxa"/>
              <w:left w:w="100" w:type="dxa"/>
              <w:bottom w:w="90" w:type="dxa"/>
              <w:right w:w="100" w:type="dxa"/>
            </w:tcMar>
            <w:vAlign w:val="center"/>
          </w:tcPr>
          <w:p w14:paraId="734C4202">
            <w:pPr>
              <w:spacing w:before="0" w:after="0" w:line="269" w:lineRule="auto"/>
              <w:ind w:firstLine="0"/>
              <w:jc w:val="left"/>
            </w:pPr>
            <w:r>
              <w:rPr>
                <w:rFonts w:hint="eastAsia"/>
                <w:sz w:val="17"/>
              </w:rPr>
              <w:t>客服主动告知需携带的证件、证明材料或注意事项，得2分；咨询者追问后，客服能够说明具体要求，得1分；咨询者追问后，客服仍无法给出明确指引或有所推诿，得-1分</w:t>
            </w:r>
          </w:p>
        </w:tc>
        <w:tc>
          <w:tcPr>
            <w:tcW w:w="2835" w:type="dxa"/>
            <w:shd w:val="clear" w:color="auto" w:fill="FAFAF8"/>
            <w:tcMar>
              <w:top w:w="90" w:type="dxa"/>
              <w:left w:w="100" w:type="dxa"/>
              <w:bottom w:w="90" w:type="dxa"/>
              <w:right w:w="100" w:type="dxa"/>
            </w:tcMar>
            <w:vAlign w:val="center"/>
          </w:tcPr>
          <w:p w14:paraId="4F8D3B3D">
            <w:pPr>
              <w:spacing w:before="0" w:after="0" w:line="269" w:lineRule="auto"/>
              <w:ind w:firstLine="0"/>
              <w:jc w:val="left"/>
            </w:pPr>
            <w:r>
              <w:rPr>
                <w:rFonts w:hint="eastAsia"/>
                <w:sz w:val="17"/>
              </w:rPr>
              <w:t>反映客服是否能够降低咨询者入住前的不确定性。分值越高，说明客服越能主动提供有效信息和协助；分值越低，说明咨询者需要反复追问，甚至仍无法获得清晰指引</w:t>
            </w:r>
          </w:p>
        </w:tc>
      </w:tr>
      <w:tr w14:paraId="78868A9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77CB4CAA">
            <w:pPr>
              <w:spacing w:before="0" w:after="0" w:line="269" w:lineRule="auto"/>
              <w:ind w:firstLine="0"/>
              <w:jc w:val="center"/>
            </w:pPr>
            <w:r>
              <w:rPr>
                <w:sz w:val="17"/>
              </w:rPr>
              <w:t>综合得分</w:t>
            </w:r>
          </w:p>
        </w:tc>
        <w:tc>
          <w:tcPr>
            <w:tcW w:w="1814" w:type="dxa"/>
            <w:shd w:val="clear" w:color="auto" w:fill="FFFFFF"/>
            <w:tcMar>
              <w:top w:w="90" w:type="dxa"/>
              <w:left w:w="100" w:type="dxa"/>
              <w:bottom w:w="90" w:type="dxa"/>
              <w:right w:w="100" w:type="dxa"/>
            </w:tcMar>
            <w:vAlign w:val="center"/>
          </w:tcPr>
          <w:p w14:paraId="4D4918A8">
            <w:pPr>
              <w:spacing w:before="0" w:after="0" w:line="269" w:lineRule="auto"/>
              <w:ind w:firstLine="0"/>
              <w:jc w:val="center"/>
            </w:pPr>
            <w:r>
              <w:rPr>
                <w:sz w:val="17"/>
              </w:rPr>
              <w:t>两项指标合并后的客服熟悉度与支持能力</w:t>
            </w:r>
          </w:p>
        </w:tc>
        <w:tc>
          <w:tcPr>
            <w:tcW w:w="2494" w:type="dxa"/>
            <w:shd w:val="clear" w:color="auto" w:fill="FFFFFF"/>
            <w:tcMar>
              <w:top w:w="90" w:type="dxa"/>
              <w:left w:w="100" w:type="dxa"/>
              <w:bottom w:w="90" w:type="dxa"/>
              <w:right w:w="100" w:type="dxa"/>
            </w:tcMar>
            <w:vAlign w:val="center"/>
          </w:tcPr>
          <w:p w14:paraId="0843CB76">
            <w:pPr>
              <w:spacing w:before="0" w:after="0" w:line="269" w:lineRule="auto"/>
              <w:ind w:firstLine="0"/>
              <w:jc w:val="left"/>
            </w:pPr>
            <w:r>
              <w:rPr>
                <w:sz w:val="17"/>
              </w:rPr>
              <w:t>综合得分=指标4政策熟悉度得分+指标5主动回应得分。理论范围为-2分至3分</w:t>
            </w:r>
          </w:p>
        </w:tc>
        <w:tc>
          <w:tcPr>
            <w:tcW w:w="2835" w:type="dxa"/>
            <w:shd w:val="clear" w:color="auto" w:fill="FFFFFF"/>
            <w:tcMar>
              <w:top w:w="90" w:type="dxa"/>
              <w:left w:w="100" w:type="dxa"/>
              <w:bottom w:w="90" w:type="dxa"/>
              <w:right w:w="100" w:type="dxa"/>
            </w:tcMar>
            <w:vAlign w:val="center"/>
          </w:tcPr>
          <w:p w14:paraId="2BE12CF5">
            <w:pPr>
              <w:spacing w:before="0" w:after="0" w:line="269" w:lineRule="auto"/>
              <w:ind w:firstLine="0"/>
              <w:jc w:val="left"/>
            </w:pPr>
            <w:r>
              <w:rPr>
                <w:sz w:val="17"/>
              </w:rPr>
              <w:t>反映品牌客服在导盲犬入住问题上的理解与支持能力</w:t>
            </w:r>
          </w:p>
        </w:tc>
      </w:tr>
    </w:tbl>
    <w:p w14:paraId="2F37319D">
      <w:pPr>
        <w:pStyle w:val="175"/>
      </w:pPr>
      <w:r>
        <w:t>统计口径｜评分依据2025年6月12日至30日的13段集团客服热线录音：华住1段（6月30日）；锦江3段（6月12日、26日、30日，其中6月12日一段只查询门店电话，未涉及导盲犬）；首旅如家1段（6月30日）；格林6段（6月18日至26日，含1段语音菜单）；东呈1段（6月30日）；尚美数智1段（6月30日）。另有锦江会客服回电1段、格林总部客服回电6段。同一集团客服前后答复不一致时，</w:t>
      </w:r>
      <w:r>
        <w:rPr>
          <w:highlight w:val="yellow"/>
        </w:rPr>
        <w:t>【待补充：按哪一次答复评分，以及评分由谁完成、是否由两人独立编码】</w:t>
      </w:r>
      <w:r>
        <w:t>。</w:t>
      </w:r>
    </w:p>
    <w:p w14:paraId="5C7FD005"/>
    <w:p w14:paraId="2E5C31C0">
      <w:pPr>
        <w:pStyle w:val="5"/>
      </w:pPr>
      <w:bookmarkStart w:id="62" w:name="_Toc7569"/>
      <w:r>
        <w:rPr>
          <w:rFonts w:ascii="Times New Roman" w:hAnsi="Times New Roman" w:eastAsia="黑体"/>
        </w:rPr>
        <w:t>（七）导盲犬认知担忧与理由编码</w:t>
      </w:r>
      <w:bookmarkEnd w:id="62"/>
    </w:p>
    <w:tbl>
      <w:tblPr>
        <w:tblStyle w:val="38"/>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134"/>
        <w:gridCol w:w="1418"/>
        <w:gridCol w:w="2779"/>
        <w:gridCol w:w="2949"/>
      </w:tblGrid>
      <w:tr w14:paraId="7A9A1F6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134" w:type="dxa"/>
            <w:shd w:val="clear" w:color="auto" w:fill="2C2C2C"/>
            <w:tcMar>
              <w:top w:w="90" w:type="dxa"/>
              <w:left w:w="100" w:type="dxa"/>
              <w:bottom w:w="90" w:type="dxa"/>
              <w:right w:w="100" w:type="dxa"/>
            </w:tcMar>
            <w:vAlign w:val="center"/>
          </w:tcPr>
          <w:p w14:paraId="21ED55BD">
            <w:pPr>
              <w:keepNext/>
              <w:spacing w:before="0" w:after="0" w:line="269" w:lineRule="auto"/>
              <w:ind w:firstLine="0"/>
              <w:jc w:val="center"/>
            </w:pPr>
            <w:r>
              <w:rPr>
                <w:rFonts w:eastAsia="黑体"/>
                <w:b/>
                <w:color w:val="FFFFFF"/>
                <w:sz w:val="17"/>
              </w:rPr>
              <w:t>担忧方向</w:t>
            </w:r>
          </w:p>
        </w:tc>
        <w:tc>
          <w:tcPr>
            <w:tcW w:w="1417" w:type="dxa"/>
            <w:shd w:val="clear" w:color="auto" w:fill="2C2C2C"/>
            <w:tcMar>
              <w:top w:w="90" w:type="dxa"/>
              <w:left w:w="100" w:type="dxa"/>
              <w:bottom w:w="90" w:type="dxa"/>
              <w:right w:w="100" w:type="dxa"/>
            </w:tcMar>
            <w:vAlign w:val="center"/>
          </w:tcPr>
          <w:p w14:paraId="28FEF5F9">
            <w:pPr>
              <w:keepNext/>
              <w:spacing w:before="0" w:after="0" w:line="269" w:lineRule="auto"/>
              <w:ind w:firstLine="0"/>
              <w:jc w:val="center"/>
            </w:pPr>
            <w:r>
              <w:rPr>
                <w:rFonts w:eastAsia="黑体"/>
                <w:b/>
                <w:color w:val="FFFFFF"/>
                <w:sz w:val="17"/>
              </w:rPr>
              <w:t>担忧类型</w:t>
            </w:r>
          </w:p>
        </w:tc>
        <w:tc>
          <w:tcPr>
            <w:tcW w:w="2778" w:type="dxa"/>
            <w:shd w:val="clear" w:color="auto" w:fill="2C2C2C"/>
            <w:tcMar>
              <w:top w:w="90" w:type="dxa"/>
              <w:left w:w="100" w:type="dxa"/>
              <w:bottom w:w="90" w:type="dxa"/>
              <w:right w:w="100" w:type="dxa"/>
            </w:tcMar>
            <w:vAlign w:val="center"/>
          </w:tcPr>
          <w:p w14:paraId="582F21C7">
            <w:pPr>
              <w:keepNext/>
              <w:spacing w:before="0" w:after="0" w:line="269" w:lineRule="auto"/>
              <w:ind w:firstLine="0"/>
              <w:jc w:val="center"/>
            </w:pPr>
            <w:r>
              <w:rPr>
                <w:rFonts w:eastAsia="黑体"/>
                <w:b/>
                <w:color w:val="FFFFFF"/>
                <w:sz w:val="17"/>
              </w:rPr>
              <w:t>含义</w:t>
            </w:r>
          </w:p>
        </w:tc>
        <w:tc>
          <w:tcPr>
            <w:tcW w:w="2948" w:type="dxa"/>
            <w:shd w:val="clear" w:color="auto" w:fill="2C2C2C"/>
            <w:tcMar>
              <w:top w:w="90" w:type="dxa"/>
              <w:left w:w="100" w:type="dxa"/>
              <w:bottom w:w="90" w:type="dxa"/>
              <w:right w:w="100" w:type="dxa"/>
            </w:tcMar>
            <w:vAlign w:val="center"/>
          </w:tcPr>
          <w:p w14:paraId="232FC4B5">
            <w:pPr>
              <w:keepNext/>
              <w:spacing w:before="0" w:after="0" w:line="269" w:lineRule="auto"/>
              <w:ind w:firstLine="0"/>
              <w:jc w:val="center"/>
            </w:pPr>
            <w:r>
              <w:rPr>
                <w:rFonts w:eastAsia="黑体"/>
                <w:b/>
                <w:color w:val="FFFFFF"/>
                <w:sz w:val="17"/>
              </w:rPr>
              <w:t>示例表达</w:t>
            </w:r>
          </w:p>
        </w:tc>
      </w:tr>
      <w:tr w14:paraId="3CB0B5A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05B4AA56">
            <w:pPr>
              <w:spacing w:before="0" w:after="0" w:line="269" w:lineRule="auto"/>
              <w:ind w:firstLine="0"/>
              <w:jc w:val="center"/>
            </w:pPr>
            <w:r>
              <w:rPr>
                <w:sz w:val="17"/>
              </w:rPr>
              <w:t>导盲犬</w:t>
            </w:r>
          </w:p>
        </w:tc>
        <w:tc>
          <w:tcPr>
            <w:tcW w:w="1417" w:type="dxa"/>
            <w:shd w:val="clear" w:color="auto" w:fill="FFFFFF"/>
            <w:tcMar>
              <w:top w:w="90" w:type="dxa"/>
              <w:left w:w="100" w:type="dxa"/>
              <w:bottom w:w="90" w:type="dxa"/>
              <w:right w:w="100" w:type="dxa"/>
            </w:tcMar>
            <w:vAlign w:val="center"/>
          </w:tcPr>
          <w:p w14:paraId="7EF763F4">
            <w:pPr>
              <w:spacing w:before="0" w:after="0" w:line="269" w:lineRule="auto"/>
              <w:ind w:firstLine="0"/>
              <w:jc w:val="center"/>
            </w:pPr>
            <w:r>
              <w:rPr>
                <w:sz w:val="17"/>
              </w:rPr>
              <w:t>宠物化理解</w:t>
            </w:r>
          </w:p>
        </w:tc>
        <w:tc>
          <w:tcPr>
            <w:tcW w:w="2778" w:type="dxa"/>
            <w:shd w:val="clear" w:color="auto" w:fill="FFFFFF"/>
            <w:tcMar>
              <w:top w:w="90" w:type="dxa"/>
              <w:left w:w="100" w:type="dxa"/>
              <w:bottom w:w="90" w:type="dxa"/>
              <w:right w:w="100" w:type="dxa"/>
            </w:tcMar>
            <w:vAlign w:val="center"/>
          </w:tcPr>
          <w:p w14:paraId="73C2891D">
            <w:pPr>
              <w:spacing w:before="0" w:after="0" w:line="269" w:lineRule="auto"/>
              <w:ind w:firstLine="0"/>
              <w:jc w:val="left"/>
            </w:pPr>
            <w:r>
              <w:rPr>
                <w:sz w:val="17"/>
              </w:rPr>
              <w:t>将导盲犬视为宠物、动物、犬类禁带对象，或未能区分导盲犬与普通宠物</w:t>
            </w:r>
          </w:p>
        </w:tc>
        <w:tc>
          <w:tcPr>
            <w:tcW w:w="2948" w:type="dxa"/>
            <w:shd w:val="clear" w:color="auto" w:fill="FFFFFF"/>
            <w:tcMar>
              <w:top w:w="90" w:type="dxa"/>
              <w:left w:w="100" w:type="dxa"/>
              <w:bottom w:w="90" w:type="dxa"/>
              <w:right w:w="100" w:type="dxa"/>
            </w:tcMar>
            <w:vAlign w:val="center"/>
          </w:tcPr>
          <w:p w14:paraId="091318F2">
            <w:pPr>
              <w:spacing w:before="0" w:after="0" w:line="269" w:lineRule="auto"/>
              <w:ind w:firstLine="0"/>
              <w:jc w:val="left"/>
            </w:pPr>
            <w:r>
              <w:rPr>
                <w:sz w:val="17"/>
              </w:rPr>
              <w:t>“宠物不能住”“导盲犬也是狗”“动物不能进酒店”</w:t>
            </w:r>
          </w:p>
        </w:tc>
      </w:tr>
      <w:tr w14:paraId="2941B8BA">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6236D623">
            <w:pPr>
              <w:spacing w:before="0" w:after="0" w:line="269" w:lineRule="auto"/>
              <w:ind w:firstLine="0"/>
              <w:jc w:val="center"/>
            </w:pPr>
            <w:r>
              <w:rPr>
                <w:sz w:val="17"/>
              </w:rPr>
              <w:t>导盲犬</w:t>
            </w:r>
          </w:p>
        </w:tc>
        <w:tc>
          <w:tcPr>
            <w:tcW w:w="1417" w:type="dxa"/>
            <w:shd w:val="clear" w:color="auto" w:fill="FAFAF8"/>
            <w:tcMar>
              <w:top w:w="90" w:type="dxa"/>
              <w:left w:w="100" w:type="dxa"/>
              <w:bottom w:w="90" w:type="dxa"/>
              <w:right w:w="100" w:type="dxa"/>
            </w:tcMar>
            <w:vAlign w:val="center"/>
          </w:tcPr>
          <w:p w14:paraId="6CC1D534">
            <w:pPr>
              <w:spacing w:before="0" w:after="0" w:line="269" w:lineRule="auto"/>
              <w:ind w:firstLine="0"/>
              <w:jc w:val="center"/>
            </w:pPr>
            <w:r>
              <w:rPr>
                <w:sz w:val="17"/>
              </w:rPr>
              <w:t>卫生问题</w:t>
            </w:r>
          </w:p>
        </w:tc>
        <w:tc>
          <w:tcPr>
            <w:tcW w:w="2778" w:type="dxa"/>
            <w:shd w:val="clear" w:color="auto" w:fill="FAFAF8"/>
            <w:tcMar>
              <w:top w:w="90" w:type="dxa"/>
              <w:left w:w="100" w:type="dxa"/>
              <w:bottom w:w="90" w:type="dxa"/>
              <w:right w:w="100" w:type="dxa"/>
            </w:tcMar>
            <w:vAlign w:val="center"/>
          </w:tcPr>
          <w:p w14:paraId="631D1995">
            <w:pPr>
              <w:spacing w:before="0" w:after="0" w:line="269" w:lineRule="auto"/>
              <w:ind w:firstLine="0"/>
              <w:jc w:val="left"/>
            </w:pPr>
            <w:r>
              <w:rPr>
                <w:sz w:val="17"/>
              </w:rPr>
              <w:t>担心导盲犬带来掉毛、异味、清洁、大小便、过敏等问题</w:t>
            </w:r>
          </w:p>
        </w:tc>
        <w:tc>
          <w:tcPr>
            <w:tcW w:w="2948" w:type="dxa"/>
            <w:shd w:val="clear" w:color="auto" w:fill="FAFAF8"/>
            <w:tcMar>
              <w:top w:w="90" w:type="dxa"/>
              <w:left w:w="100" w:type="dxa"/>
              <w:bottom w:w="90" w:type="dxa"/>
              <w:right w:w="100" w:type="dxa"/>
            </w:tcMar>
            <w:vAlign w:val="center"/>
          </w:tcPr>
          <w:p w14:paraId="6E6B6655">
            <w:pPr>
              <w:spacing w:before="0" w:after="0" w:line="269" w:lineRule="auto"/>
              <w:ind w:firstLine="0"/>
              <w:jc w:val="left"/>
            </w:pPr>
            <w:r>
              <w:rPr>
                <w:sz w:val="17"/>
              </w:rPr>
              <w:t>“怕掉毛”“怕在房间拉”“怕有味道”“怕客人过敏”</w:t>
            </w:r>
          </w:p>
        </w:tc>
      </w:tr>
      <w:tr w14:paraId="01120A1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59587622">
            <w:pPr>
              <w:spacing w:before="0" w:after="0" w:line="269" w:lineRule="auto"/>
              <w:ind w:firstLine="0"/>
              <w:jc w:val="center"/>
            </w:pPr>
            <w:r>
              <w:rPr>
                <w:sz w:val="17"/>
              </w:rPr>
              <w:t>导盲犬</w:t>
            </w:r>
          </w:p>
        </w:tc>
        <w:tc>
          <w:tcPr>
            <w:tcW w:w="1417" w:type="dxa"/>
            <w:shd w:val="clear" w:color="auto" w:fill="FFFFFF"/>
            <w:tcMar>
              <w:top w:w="90" w:type="dxa"/>
              <w:left w:w="100" w:type="dxa"/>
              <w:bottom w:w="90" w:type="dxa"/>
              <w:right w:w="100" w:type="dxa"/>
            </w:tcMar>
            <w:vAlign w:val="center"/>
          </w:tcPr>
          <w:p w14:paraId="31B8E9E4">
            <w:pPr>
              <w:spacing w:before="0" w:after="0" w:line="269" w:lineRule="auto"/>
              <w:ind w:firstLine="0"/>
              <w:jc w:val="center"/>
            </w:pPr>
            <w:r>
              <w:rPr>
                <w:sz w:val="17"/>
              </w:rPr>
              <w:t>噪音问题</w:t>
            </w:r>
          </w:p>
        </w:tc>
        <w:tc>
          <w:tcPr>
            <w:tcW w:w="2778" w:type="dxa"/>
            <w:shd w:val="clear" w:color="auto" w:fill="FFFFFF"/>
            <w:tcMar>
              <w:top w:w="90" w:type="dxa"/>
              <w:left w:w="100" w:type="dxa"/>
              <w:bottom w:w="90" w:type="dxa"/>
              <w:right w:w="100" w:type="dxa"/>
            </w:tcMar>
            <w:vAlign w:val="center"/>
          </w:tcPr>
          <w:p w14:paraId="1DF1AD1E">
            <w:pPr>
              <w:spacing w:before="0" w:after="0" w:line="269" w:lineRule="auto"/>
              <w:ind w:firstLine="0"/>
              <w:jc w:val="left"/>
            </w:pPr>
            <w:r>
              <w:rPr>
                <w:sz w:val="17"/>
              </w:rPr>
              <w:t>担心导盲犬夜间叫声、吠叫或其他声音影响住客休息</w:t>
            </w:r>
          </w:p>
        </w:tc>
        <w:tc>
          <w:tcPr>
            <w:tcW w:w="2948" w:type="dxa"/>
            <w:shd w:val="clear" w:color="auto" w:fill="FFFFFF"/>
            <w:tcMar>
              <w:top w:w="90" w:type="dxa"/>
              <w:left w:w="100" w:type="dxa"/>
              <w:bottom w:w="90" w:type="dxa"/>
              <w:right w:w="100" w:type="dxa"/>
            </w:tcMar>
            <w:vAlign w:val="center"/>
          </w:tcPr>
          <w:p w14:paraId="5B8B10D8">
            <w:pPr>
              <w:spacing w:before="0" w:after="0" w:line="269" w:lineRule="auto"/>
              <w:ind w:firstLine="0"/>
              <w:jc w:val="center"/>
            </w:pPr>
            <w:r>
              <w:rPr>
                <w:sz w:val="17"/>
              </w:rPr>
              <w:t>“晚上叫怎么办”“怕影响客人休息”</w:t>
            </w:r>
          </w:p>
        </w:tc>
      </w:tr>
      <w:tr w14:paraId="36A86E2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2C1A8D45">
            <w:pPr>
              <w:spacing w:before="0" w:after="0" w:line="269" w:lineRule="auto"/>
              <w:ind w:firstLine="0"/>
              <w:jc w:val="center"/>
            </w:pPr>
            <w:r>
              <w:rPr>
                <w:sz w:val="17"/>
              </w:rPr>
              <w:t>导盲犬</w:t>
            </w:r>
          </w:p>
        </w:tc>
        <w:tc>
          <w:tcPr>
            <w:tcW w:w="1417" w:type="dxa"/>
            <w:shd w:val="clear" w:color="auto" w:fill="FAFAF8"/>
            <w:tcMar>
              <w:top w:w="90" w:type="dxa"/>
              <w:left w:w="100" w:type="dxa"/>
              <w:bottom w:w="90" w:type="dxa"/>
              <w:right w:w="100" w:type="dxa"/>
            </w:tcMar>
            <w:vAlign w:val="center"/>
          </w:tcPr>
          <w:p w14:paraId="11AA5348">
            <w:pPr>
              <w:spacing w:before="0" w:after="0" w:line="269" w:lineRule="auto"/>
              <w:ind w:firstLine="0"/>
              <w:jc w:val="center"/>
            </w:pPr>
            <w:r>
              <w:rPr>
                <w:sz w:val="17"/>
              </w:rPr>
              <w:t>客诉压力</w:t>
            </w:r>
          </w:p>
        </w:tc>
        <w:tc>
          <w:tcPr>
            <w:tcW w:w="2778" w:type="dxa"/>
            <w:shd w:val="clear" w:color="auto" w:fill="FAFAF8"/>
            <w:tcMar>
              <w:top w:w="90" w:type="dxa"/>
              <w:left w:w="100" w:type="dxa"/>
              <w:bottom w:w="90" w:type="dxa"/>
              <w:right w:w="100" w:type="dxa"/>
            </w:tcMar>
            <w:vAlign w:val="center"/>
          </w:tcPr>
          <w:p w14:paraId="4E49AD83">
            <w:pPr>
              <w:spacing w:before="0" w:after="0" w:line="269" w:lineRule="auto"/>
              <w:ind w:firstLine="0"/>
              <w:jc w:val="left"/>
            </w:pPr>
            <w:r>
              <w:rPr>
                <w:sz w:val="17"/>
              </w:rPr>
              <w:t>担心其他住客害怕、投诉、差评或无法接受导盲犬进入酒店</w:t>
            </w:r>
          </w:p>
        </w:tc>
        <w:tc>
          <w:tcPr>
            <w:tcW w:w="2948" w:type="dxa"/>
            <w:shd w:val="clear" w:color="auto" w:fill="FAFAF8"/>
            <w:tcMar>
              <w:top w:w="90" w:type="dxa"/>
              <w:left w:w="100" w:type="dxa"/>
              <w:bottom w:w="90" w:type="dxa"/>
              <w:right w:w="100" w:type="dxa"/>
            </w:tcMar>
            <w:vAlign w:val="center"/>
          </w:tcPr>
          <w:p w14:paraId="7B924D32">
            <w:pPr>
              <w:spacing w:before="0" w:after="0" w:line="269" w:lineRule="auto"/>
              <w:ind w:firstLine="0"/>
              <w:jc w:val="left"/>
            </w:pPr>
            <w:r>
              <w:rPr>
                <w:sz w:val="17"/>
              </w:rPr>
              <w:t>“怕客人投诉”“怕影响其他客人”“别人看到会害怕”</w:t>
            </w:r>
          </w:p>
        </w:tc>
      </w:tr>
      <w:tr w14:paraId="424A2D5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769692B9">
            <w:pPr>
              <w:spacing w:before="0" w:after="0" w:line="269" w:lineRule="auto"/>
              <w:ind w:firstLine="0"/>
              <w:jc w:val="center"/>
            </w:pPr>
            <w:r>
              <w:rPr>
                <w:sz w:val="17"/>
              </w:rPr>
              <w:t>导盲犬</w:t>
            </w:r>
          </w:p>
        </w:tc>
        <w:tc>
          <w:tcPr>
            <w:tcW w:w="1417" w:type="dxa"/>
            <w:shd w:val="clear" w:color="auto" w:fill="FFFFFF"/>
            <w:tcMar>
              <w:top w:w="90" w:type="dxa"/>
              <w:left w:w="100" w:type="dxa"/>
              <w:bottom w:w="90" w:type="dxa"/>
              <w:right w:w="100" w:type="dxa"/>
            </w:tcMar>
            <w:vAlign w:val="center"/>
          </w:tcPr>
          <w:p w14:paraId="0987CB21">
            <w:pPr>
              <w:spacing w:before="0" w:after="0" w:line="269" w:lineRule="auto"/>
              <w:ind w:firstLine="0"/>
              <w:jc w:val="center"/>
            </w:pPr>
            <w:r>
              <w:rPr>
                <w:sz w:val="17"/>
              </w:rPr>
              <w:t>财产损耗</w:t>
            </w:r>
          </w:p>
        </w:tc>
        <w:tc>
          <w:tcPr>
            <w:tcW w:w="2778" w:type="dxa"/>
            <w:shd w:val="clear" w:color="auto" w:fill="FFFFFF"/>
            <w:tcMar>
              <w:top w:w="90" w:type="dxa"/>
              <w:left w:w="100" w:type="dxa"/>
              <w:bottom w:w="90" w:type="dxa"/>
              <w:right w:w="100" w:type="dxa"/>
            </w:tcMar>
            <w:vAlign w:val="center"/>
          </w:tcPr>
          <w:p w14:paraId="398877A5">
            <w:pPr>
              <w:spacing w:before="0" w:after="0" w:line="269" w:lineRule="auto"/>
              <w:ind w:firstLine="0"/>
              <w:jc w:val="left"/>
            </w:pPr>
            <w:r>
              <w:rPr>
                <w:sz w:val="17"/>
              </w:rPr>
              <w:t>担心导盲犬损坏床品、地板、沙发、家具或其他客房设施</w:t>
            </w:r>
          </w:p>
        </w:tc>
        <w:tc>
          <w:tcPr>
            <w:tcW w:w="2948" w:type="dxa"/>
            <w:shd w:val="clear" w:color="auto" w:fill="FFFFFF"/>
            <w:tcMar>
              <w:top w:w="90" w:type="dxa"/>
              <w:left w:w="100" w:type="dxa"/>
              <w:bottom w:w="90" w:type="dxa"/>
              <w:right w:w="100" w:type="dxa"/>
            </w:tcMar>
            <w:vAlign w:val="center"/>
          </w:tcPr>
          <w:p w14:paraId="4362D9CC">
            <w:pPr>
              <w:spacing w:before="0" w:after="0" w:line="269" w:lineRule="auto"/>
              <w:ind w:firstLine="0"/>
              <w:jc w:val="center"/>
            </w:pPr>
            <w:r>
              <w:rPr>
                <w:sz w:val="17"/>
              </w:rPr>
              <w:t>“咬坏东西要赔”“怕弄坏房间设施”</w:t>
            </w:r>
          </w:p>
        </w:tc>
      </w:tr>
      <w:tr w14:paraId="034E107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32B95DD5">
            <w:pPr>
              <w:spacing w:before="0" w:after="0" w:line="269" w:lineRule="auto"/>
              <w:ind w:firstLine="0"/>
              <w:jc w:val="center"/>
            </w:pPr>
            <w:r>
              <w:rPr>
                <w:sz w:val="17"/>
              </w:rPr>
              <w:t>导盲犬</w:t>
            </w:r>
          </w:p>
        </w:tc>
        <w:tc>
          <w:tcPr>
            <w:tcW w:w="1417" w:type="dxa"/>
            <w:shd w:val="clear" w:color="auto" w:fill="FAFAF8"/>
            <w:tcMar>
              <w:top w:w="90" w:type="dxa"/>
              <w:left w:w="100" w:type="dxa"/>
              <w:bottom w:w="90" w:type="dxa"/>
              <w:right w:w="100" w:type="dxa"/>
            </w:tcMar>
            <w:vAlign w:val="center"/>
          </w:tcPr>
          <w:p w14:paraId="0C519351">
            <w:pPr>
              <w:spacing w:before="0" w:after="0" w:line="269" w:lineRule="auto"/>
              <w:ind w:firstLine="0"/>
              <w:jc w:val="center"/>
            </w:pPr>
            <w:r>
              <w:rPr>
                <w:sz w:val="17"/>
              </w:rPr>
              <w:t>安全问题</w:t>
            </w:r>
          </w:p>
        </w:tc>
        <w:tc>
          <w:tcPr>
            <w:tcW w:w="2778" w:type="dxa"/>
            <w:shd w:val="clear" w:color="auto" w:fill="FAFAF8"/>
            <w:tcMar>
              <w:top w:w="90" w:type="dxa"/>
              <w:left w:w="100" w:type="dxa"/>
              <w:bottom w:w="90" w:type="dxa"/>
              <w:right w:w="100" w:type="dxa"/>
            </w:tcMar>
            <w:vAlign w:val="center"/>
          </w:tcPr>
          <w:p w14:paraId="308D4339">
            <w:pPr>
              <w:spacing w:before="0" w:after="0" w:line="269" w:lineRule="auto"/>
              <w:ind w:firstLine="0"/>
              <w:jc w:val="left"/>
            </w:pPr>
            <w:r>
              <w:rPr>
                <w:sz w:val="17"/>
              </w:rPr>
              <w:t>担心导盲犬咬人、扑人、失控、攻击陌生人或造成安全事故</w:t>
            </w:r>
          </w:p>
        </w:tc>
        <w:tc>
          <w:tcPr>
            <w:tcW w:w="2948" w:type="dxa"/>
            <w:shd w:val="clear" w:color="auto" w:fill="FAFAF8"/>
            <w:tcMar>
              <w:top w:w="90" w:type="dxa"/>
              <w:left w:w="100" w:type="dxa"/>
              <w:bottom w:w="90" w:type="dxa"/>
              <w:right w:w="100" w:type="dxa"/>
            </w:tcMar>
            <w:vAlign w:val="center"/>
          </w:tcPr>
          <w:p w14:paraId="3658AF69">
            <w:pPr>
              <w:spacing w:before="0" w:after="0" w:line="269" w:lineRule="auto"/>
              <w:ind w:firstLine="0"/>
              <w:jc w:val="left"/>
            </w:pPr>
            <w:r>
              <w:rPr>
                <w:sz w:val="17"/>
              </w:rPr>
              <w:t>“会不会咬人”“对陌生人有没有攻击性”“要不要戴嘴套”</w:t>
            </w:r>
          </w:p>
        </w:tc>
      </w:tr>
      <w:tr w14:paraId="6DEA7C5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4DB2782">
            <w:pPr>
              <w:spacing w:before="0" w:after="0" w:line="269" w:lineRule="auto"/>
              <w:ind w:firstLine="0"/>
              <w:jc w:val="center"/>
            </w:pPr>
            <w:r>
              <w:rPr>
                <w:sz w:val="17"/>
              </w:rPr>
              <w:t>导盲犬</w:t>
            </w:r>
          </w:p>
        </w:tc>
        <w:tc>
          <w:tcPr>
            <w:tcW w:w="1417" w:type="dxa"/>
            <w:shd w:val="clear" w:color="auto" w:fill="FFFFFF"/>
            <w:tcMar>
              <w:top w:w="90" w:type="dxa"/>
              <w:left w:w="100" w:type="dxa"/>
              <w:bottom w:w="90" w:type="dxa"/>
              <w:right w:w="100" w:type="dxa"/>
            </w:tcMar>
            <w:vAlign w:val="center"/>
          </w:tcPr>
          <w:p w14:paraId="4687847D">
            <w:pPr>
              <w:spacing w:before="0" w:after="0" w:line="269" w:lineRule="auto"/>
              <w:ind w:firstLine="0"/>
              <w:jc w:val="center"/>
            </w:pPr>
            <w:r>
              <w:rPr>
                <w:sz w:val="17"/>
              </w:rPr>
              <w:t>空间不适配</w:t>
            </w:r>
          </w:p>
        </w:tc>
        <w:tc>
          <w:tcPr>
            <w:tcW w:w="2778" w:type="dxa"/>
            <w:shd w:val="clear" w:color="auto" w:fill="FFFFFF"/>
            <w:tcMar>
              <w:top w:w="90" w:type="dxa"/>
              <w:left w:w="100" w:type="dxa"/>
              <w:bottom w:w="90" w:type="dxa"/>
              <w:right w:w="100" w:type="dxa"/>
            </w:tcMar>
            <w:vAlign w:val="center"/>
          </w:tcPr>
          <w:p w14:paraId="57F28D38">
            <w:pPr>
              <w:spacing w:before="0" w:after="0" w:line="269" w:lineRule="auto"/>
              <w:ind w:firstLine="0"/>
              <w:jc w:val="left"/>
            </w:pPr>
            <w:r>
              <w:rPr>
                <w:sz w:val="17"/>
              </w:rPr>
              <w:t>认为酒店没有合适空间安置导盲犬，或认为房间、走廊、公共区域等环境不适合导盲犬进入</w:t>
            </w:r>
          </w:p>
        </w:tc>
        <w:tc>
          <w:tcPr>
            <w:tcW w:w="2948" w:type="dxa"/>
            <w:shd w:val="clear" w:color="auto" w:fill="FFFFFF"/>
            <w:tcMar>
              <w:top w:w="90" w:type="dxa"/>
              <w:left w:w="100" w:type="dxa"/>
              <w:bottom w:w="90" w:type="dxa"/>
              <w:right w:w="100" w:type="dxa"/>
            </w:tcMar>
            <w:vAlign w:val="center"/>
          </w:tcPr>
          <w:p w14:paraId="0F208712">
            <w:pPr>
              <w:spacing w:before="0" w:after="0" w:line="269" w:lineRule="auto"/>
              <w:ind w:firstLine="0"/>
              <w:jc w:val="left"/>
            </w:pPr>
            <w:r>
              <w:rPr>
                <w:sz w:val="17"/>
              </w:rPr>
              <w:t>“没有放狗的地方”“房间太小”“我们这边环境不适合”</w:t>
            </w:r>
          </w:p>
        </w:tc>
      </w:tr>
      <w:tr w14:paraId="56BB4CD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57B08498">
            <w:pPr>
              <w:spacing w:before="0" w:after="0" w:line="269" w:lineRule="auto"/>
              <w:ind w:firstLine="0"/>
              <w:jc w:val="center"/>
            </w:pPr>
            <w:r>
              <w:rPr>
                <w:sz w:val="17"/>
              </w:rPr>
              <w:t>视障者</w:t>
            </w:r>
          </w:p>
        </w:tc>
        <w:tc>
          <w:tcPr>
            <w:tcW w:w="1417" w:type="dxa"/>
            <w:shd w:val="clear" w:color="auto" w:fill="FAFAF8"/>
            <w:tcMar>
              <w:top w:w="90" w:type="dxa"/>
              <w:left w:w="100" w:type="dxa"/>
              <w:bottom w:w="90" w:type="dxa"/>
              <w:right w:w="100" w:type="dxa"/>
            </w:tcMar>
            <w:vAlign w:val="center"/>
          </w:tcPr>
          <w:p w14:paraId="29DBB295">
            <w:pPr>
              <w:spacing w:before="0" w:after="0" w:line="269" w:lineRule="auto"/>
              <w:ind w:firstLine="0"/>
              <w:jc w:val="center"/>
            </w:pPr>
            <w:r>
              <w:rPr>
                <w:sz w:val="17"/>
              </w:rPr>
              <w:t>独立入住能力存疑</w:t>
            </w:r>
          </w:p>
        </w:tc>
        <w:tc>
          <w:tcPr>
            <w:tcW w:w="2778" w:type="dxa"/>
            <w:shd w:val="clear" w:color="auto" w:fill="FAFAF8"/>
            <w:tcMar>
              <w:top w:w="90" w:type="dxa"/>
              <w:left w:w="100" w:type="dxa"/>
              <w:bottom w:w="90" w:type="dxa"/>
              <w:right w:w="100" w:type="dxa"/>
            </w:tcMar>
            <w:vAlign w:val="center"/>
          </w:tcPr>
          <w:p w14:paraId="6C5EBF2A">
            <w:pPr>
              <w:spacing w:before="0" w:after="0" w:line="269" w:lineRule="auto"/>
              <w:ind w:firstLine="0"/>
              <w:jc w:val="left"/>
            </w:pPr>
            <w:r>
              <w:rPr>
                <w:sz w:val="17"/>
              </w:rPr>
              <w:t>怀疑视障者能否独立办理入住、行动、安全居住，或认为其必须有人陪同</w:t>
            </w:r>
          </w:p>
        </w:tc>
        <w:tc>
          <w:tcPr>
            <w:tcW w:w="2948" w:type="dxa"/>
            <w:shd w:val="clear" w:color="auto" w:fill="FAFAF8"/>
            <w:tcMar>
              <w:top w:w="90" w:type="dxa"/>
              <w:left w:w="100" w:type="dxa"/>
              <w:bottom w:w="90" w:type="dxa"/>
              <w:right w:w="100" w:type="dxa"/>
            </w:tcMar>
            <w:vAlign w:val="center"/>
          </w:tcPr>
          <w:p w14:paraId="09D8A193">
            <w:pPr>
              <w:spacing w:before="0" w:after="0" w:line="269" w:lineRule="auto"/>
              <w:ind w:firstLine="0"/>
              <w:jc w:val="left"/>
            </w:pPr>
            <w:r>
              <w:rPr>
                <w:sz w:val="17"/>
              </w:rPr>
              <w:t>“你有人陪吗”“怕你一个人不方便”“万一出事酒店担不起责任”</w:t>
            </w:r>
          </w:p>
        </w:tc>
      </w:tr>
      <w:tr w14:paraId="717F1A1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A806032">
            <w:pPr>
              <w:spacing w:before="0" w:after="0" w:line="269" w:lineRule="auto"/>
              <w:ind w:firstLine="0"/>
              <w:jc w:val="center"/>
            </w:pPr>
            <w:r>
              <w:rPr>
                <w:sz w:val="17"/>
              </w:rPr>
              <w:t>视障者</w:t>
            </w:r>
          </w:p>
        </w:tc>
        <w:tc>
          <w:tcPr>
            <w:tcW w:w="1417" w:type="dxa"/>
            <w:shd w:val="clear" w:color="auto" w:fill="FFFFFF"/>
            <w:tcMar>
              <w:top w:w="90" w:type="dxa"/>
              <w:left w:w="100" w:type="dxa"/>
              <w:bottom w:w="90" w:type="dxa"/>
              <w:right w:w="100" w:type="dxa"/>
            </w:tcMar>
            <w:vAlign w:val="center"/>
          </w:tcPr>
          <w:p w14:paraId="59F75AEB">
            <w:pPr>
              <w:spacing w:before="0" w:after="0" w:line="269" w:lineRule="auto"/>
              <w:ind w:firstLine="0"/>
              <w:jc w:val="center"/>
            </w:pPr>
            <w:r>
              <w:rPr>
                <w:sz w:val="17"/>
              </w:rPr>
              <w:t>管理导盲犬能力存疑</w:t>
            </w:r>
          </w:p>
        </w:tc>
        <w:tc>
          <w:tcPr>
            <w:tcW w:w="2778" w:type="dxa"/>
            <w:shd w:val="clear" w:color="auto" w:fill="FFFFFF"/>
            <w:tcMar>
              <w:top w:w="90" w:type="dxa"/>
              <w:left w:w="100" w:type="dxa"/>
              <w:bottom w:w="90" w:type="dxa"/>
              <w:right w:w="100" w:type="dxa"/>
            </w:tcMar>
            <w:vAlign w:val="center"/>
          </w:tcPr>
          <w:p w14:paraId="0167D3C6">
            <w:pPr>
              <w:spacing w:before="0" w:after="0" w:line="269" w:lineRule="auto"/>
              <w:ind w:firstLine="0"/>
              <w:jc w:val="left"/>
            </w:pPr>
            <w:r>
              <w:rPr>
                <w:sz w:val="17"/>
              </w:rPr>
              <w:t>怀疑视障者能否管理导盲犬，或将视力障碍与无法控制、照看导盲犬联系起来</w:t>
            </w:r>
          </w:p>
        </w:tc>
        <w:tc>
          <w:tcPr>
            <w:tcW w:w="2948" w:type="dxa"/>
            <w:shd w:val="clear" w:color="auto" w:fill="FFFFFF"/>
            <w:tcMar>
              <w:top w:w="90" w:type="dxa"/>
              <w:left w:w="100" w:type="dxa"/>
              <w:bottom w:w="90" w:type="dxa"/>
              <w:right w:w="100" w:type="dxa"/>
            </w:tcMar>
            <w:vAlign w:val="center"/>
          </w:tcPr>
          <w:p w14:paraId="073403B6">
            <w:pPr>
              <w:spacing w:before="0" w:after="0" w:line="269" w:lineRule="auto"/>
              <w:ind w:firstLine="0"/>
              <w:jc w:val="center"/>
            </w:pPr>
            <w:r>
              <w:rPr>
                <w:sz w:val="17"/>
              </w:rPr>
              <w:t>“要管好它”“别让它乱跑”</w:t>
            </w:r>
          </w:p>
        </w:tc>
      </w:tr>
    </w:tbl>
    <w:p w14:paraId="341983F8"/>
    <w:p w14:paraId="51E89098">
      <w:pPr>
        <w:pStyle w:val="175"/>
      </w:pPr>
      <w:r>
        <w:t>统计口径｜担忧与理由采用多标签统计，标签既包括最终拒绝门店的拒绝理由，也包括最终同意接待的门店提出的顾虑。分析单位为891条已完成转写并可识别具体担忧理由的回应记录；一条“回应记录”指</w:t>
      </w:r>
      <w:r>
        <w:rPr>
          <w:highlight w:val="yellow"/>
        </w:rPr>
        <w:t>【待补充：回应记录的定义，例如每通电话中每位工作人员的一段完整回应】</w:t>
      </w:r>
      <w:r>
        <w:t>，转写覆盖</w:t>
      </w:r>
      <w:r>
        <w:rPr>
          <w:highlight w:val="yellow"/>
        </w:rPr>
        <w:t>【待补充：X次独立通话、X家门店】</w:t>
      </w:r>
      <w:r>
        <w:t>。同一条记录中出现多个担忧理由时，分别计入相应标签；同一标签在同一通电话中计1次。沟通统计以782次独立通话和558家有效反馈门店为单位，不与回应记录相加。“回应覆盖率”为某一标签出现频次除以891条可编码回应记录；同一条记录可包含多个标签，因此各标签的回应覆盖率合计可能超过100%。“标签构成比”为某一标签出现频次除以1344次标签出现频次总和，合计为100%。</w:t>
      </w:r>
    </w:p>
    <w:p w14:paraId="61FFE657">
      <w:pPr>
        <w:pStyle w:val="4"/>
      </w:pPr>
      <w:bookmarkStart w:id="63" w:name="_Toc242417926"/>
      <w:bookmarkStart w:id="64" w:name="_Toc239432631"/>
      <w:r>
        <w:t>三 数据来源与排名解释</w:t>
      </w:r>
      <w:bookmarkEnd w:id="63"/>
      <w:bookmarkEnd w:id="64"/>
    </w:p>
    <w:p w14:paraId="3134909E">
      <w:r>
        <w:t>结果依据门店记录、通话统计、附带条件编码和担忧理由编码四个数据层级。排名解释同时列出样本量与单家门店对比例的影响。</w:t>
      </w:r>
    </w:p>
    <w:p w14:paraId="489CBE49">
      <w:pPr>
        <w:pStyle w:val="5"/>
      </w:pPr>
      <w:r>
        <w:t>（一）数据层级与复核范围</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2835"/>
        <w:gridCol w:w="3969"/>
      </w:tblGrid>
      <w:tr w14:paraId="21E1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DDEBF7"/>
            <w:tcMar>
              <w:top w:w="90" w:type="dxa"/>
              <w:left w:w="110" w:type="dxa"/>
              <w:bottom w:w="90" w:type="dxa"/>
              <w:right w:w="110" w:type="dxa"/>
            </w:tcMar>
            <w:vAlign w:val="center"/>
          </w:tcPr>
          <w:p w14:paraId="403CDBE6">
            <w:pPr>
              <w:keepNext/>
              <w:spacing w:before="0" w:after="0" w:line="269" w:lineRule="auto"/>
              <w:ind w:firstLine="0"/>
            </w:pPr>
            <w:r>
              <w:rPr>
                <w:b/>
                <w:color w:val="17365D"/>
                <w:sz w:val="16"/>
              </w:rPr>
              <w:t>数据层级</w:t>
            </w:r>
          </w:p>
        </w:tc>
        <w:tc>
          <w:tcPr>
            <w:tcW w:w="2835" w:type="dxa"/>
            <w:shd w:val="clear" w:color="auto" w:fill="DDEBF7"/>
            <w:tcMar>
              <w:top w:w="90" w:type="dxa"/>
              <w:left w:w="110" w:type="dxa"/>
              <w:bottom w:w="90" w:type="dxa"/>
              <w:right w:w="110" w:type="dxa"/>
            </w:tcMar>
            <w:vAlign w:val="center"/>
          </w:tcPr>
          <w:p w14:paraId="79CCD72D">
            <w:pPr>
              <w:keepNext/>
              <w:spacing w:before="0" w:after="0" w:line="269" w:lineRule="auto"/>
              <w:ind w:firstLine="0"/>
            </w:pPr>
            <w:r>
              <w:rPr>
                <w:b/>
                <w:color w:val="17365D"/>
                <w:sz w:val="16"/>
              </w:rPr>
              <w:t>来源与规模</w:t>
            </w:r>
          </w:p>
        </w:tc>
        <w:tc>
          <w:tcPr>
            <w:tcW w:w="3969" w:type="dxa"/>
            <w:shd w:val="clear" w:color="auto" w:fill="DDEBF7"/>
            <w:tcMar>
              <w:top w:w="90" w:type="dxa"/>
              <w:left w:w="110" w:type="dxa"/>
              <w:bottom w:w="90" w:type="dxa"/>
              <w:right w:w="110" w:type="dxa"/>
            </w:tcMar>
            <w:vAlign w:val="center"/>
          </w:tcPr>
          <w:p w14:paraId="4267C445">
            <w:pPr>
              <w:keepNext/>
              <w:spacing w:before="0" w:after="0" w:line="269" w:lineRule="auto"/>
              <w:ind w:firstLine="0"/>
            </w:pPr>
            <w:r>
              <w:t>复核内容</w:t>
            </w:r>
          </w:p>
        </w:tc>
      </w:tr>
      <w:tr w14:paraId="7B48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6013DC80">
            <w:pPr>
              <w:spacing w:before="0" w:after="0" w:line="269" w:lineRule="auto"/>
              <w:ind w:firstLine="0"/>
            </w:pPr>
            <w:r>
              <w:rPr>
                <w:sz w:val="16"/>
              </w:rPr>
              <w:t>门店记录</w:t>
            </w:r>
          </w:p>
        </w:tc>
        <w:tc>
          <w:tcPr>
            <w:tcW w:w="2835" w:type="dxa"/>
            <w:tcMar>
              <w:top w:w="90" w:type="dxa"/>
              <w:left w:w="110" w:type="dxa"/>
              <w:bottom w:w="90" w:type="dxa"/>
              <w:right w:w="110" w:type="dxa"/>
            </w:tcMar>
            <w:vAlign w:val="center"/>
          </w:tcPr>
          <w:p w14:paraId="74FF13A8">
            <w:pPr>
              <w:spacing w:before="0" w:after="0" w:line="269" w:lineRule="auto"/>
              <w:ind w:firstLine="0"/>
            </w:pPr>
            <w:r>
              <w:rPr>
                <w:sz w:val="16"/>
              </w:rPr>
              <w:t>《20260523 原始数据.xlsx》；558家有效反馈门店</w:t>
            </w:r>
          </w:p>
        </w:tc>
        <w:tc>
          <w:tcPr>
            <w:tcW w:w="3969" w:type="dxa"/>
            <w:tcMar>
              <w:top w:w="90" w:type="dxa"/>
              <w:left w:w="110" w:type="dxa"/>
              <w:bottom w:w="90" w:type="dxa"/>
              <w:right w:w="110" w:type="dxa"/>
            </w:tcMar>
            <w:vAlign w:val="center"/>
          </w:tcPr>
          <w:p w14:paraId="78A20937">
            <w:pPr>
              <w:spacing w:before="0" w:after="0" w:line="269" w:lineRule="auto"/>
              <w:ind w:firstLine="0"/>
            </w:pPr>
            <w:r>
              <w:rPr>
                <w:sz w:val="16"/>
              </w:rPr>
              <w:t>复核城市、品牌、答复结果、独立通话次数和最终答复者。</w:t>
            </w:r>
          </w:p>
        </w:tc>
      </w:tr>
      <w:tr w14:paraId="6DE7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285BEE22">
            <w:pPr>
              <w:spacing w:before="0" w:after="0" w:line="269" w:lineRule="auto"/>
              <w:ind w:firstLine="0"/>
            </w:pPr>
            <w:r>
              <w:rPr>
                <w:sz w:val="16"/>
              </w:rPr>
              <w:t>通话统计</w:t>
            </w:r>
          </w:p>
        </w:tc>
        <w:tc>
          <w:tcPr>
            <w:tcW w:w="2835" w:type="dxa"/>
            <w:shd w:val="clear" w:color="auto" w:fill="F3F7FA"/>
            <w:tcMar>
              <w:top w:w="90" w:type="dxa"/>
              <w:left w:w="110" w:type="dxa"/>
              <w:bottom w:w="90" w:type="dxa"/>
              <w:right w:w="110" w:type="dxa"/>
            </w:tcMar>
            <w:vAlign w:val="center"/>
          </w:tcPr>
          <w:p w14:paraId="69CB52E9">
            <w:pPr>
              <w:spacing w:before="0" w:after="0" w:line="269" w:lineRule="auto"/>
              <w:ind w:firstLine="0"/>
            </w:pPr>
            <w:r>
              <w:rPr>
                <w:sz w:val="16"/>
              </w:rPr>
              <w:t>由558行门店记录汇总；共782次独立通话</w:t>
            </w:r>
          </w:p>
        </w:tc>
        <w:tc>
          <w:tcPr>
            <w:tcW w:w="3969" w:type="dxa"/>
            <w:shd w:val="clear" w:color="auto" w:fill="F3F7FA"/>
            <w:tcMar>
              <w:top w:w="90" w:type="dxa"/>
              <w:left w:w="110" w:type="dxa"/>
              <w:bottom w:w="90" w:type="dxa"/>
              <w:right w:w="110" w:type="dxa"/>
            </w:tcMar>
            <w:vAlign w:val="center"/>
          </w:tcPr>
          <w:p w14:paraId="38389634">
            <w:pPr>
              <w:spacing w:before="0" w:after="0" w:line="269" w:lineRule="auto"/>
              <w:ind w:firstLine="0"/>
            </w:pPr>
            <w:r>
              <w:rPr>
                <w:sz w:val="16"/>
              </w:rPr>
              <w:t>用于一次通话接纳率、2次及以上通话比例和平均通话次数。</w:t>
            </w:r>
          </w:p>
        </w:tc>
      </w:tr>
      <w:tr w14:paraId="67C7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544692F8">
            <w:pPr>
              <w:spacing w:before="0" w:after="0" w:line="269" w:lineRule="auto"/>
              <w:ind w:firstLine="0"/>
            </w:pPr>
            <w:r>
              <w:rPr>
                <w:sz w:val="16"/>
              </w:rPr>
              <w:t>附带条件</w:t>
            </w:r>
          </w:p>
        </w:tc>
        <w:tc>
          <w:tcPr>
            <w:tcW w:w="2835" w:type="dxa"/>
            <w:tcMar>
              <w:top w:w="90" w:type="dxa"/>
              <w:left w:w="110" w:type="dxa"/>
              <w:bottom w:w="90" w:type="dxa"/>
              <w:right w:w="110" w:type="dxa"/>
            </w:tcMar>
            <w:vAlign w:val="center"/>
          </w:tcPr>
          <w:p w14:paraId="328128E8">
            <w:pPr>
              <w:spacing w:before="0" w:after="0" w:line="269" w:lineRule="auto"/>
              <w:ind w:firstLine="0"/>
            </w:pPr>
            <w:r>
              <w:t>经人工复核的附带条件编码；86家附带条件接纳</w:t>
            </w:r>
          </w:p>
        </w:tc>
        <w:tc>
          <w:tcPr>
            <w:tcW w:w="3969" w:type="dxa"/>
            <w:tcMar>
              <w:top w:w="90" w:type="dxa"/>
              <w:left w:w="110" w:type="dxa"/>
              <w:bottom w:w="90" w:type="dxa"/>
              <w:right w:w="110" w:type="dxa"/>
            </w:tcMar>
            <w:vAlign w:val="center"/>
          </w:tcPr>
          <w:p w14:paraId="200B2CF1">
            <w:pPr>
              <w:spacing w:before="0" w:after="0" w:line="269" w:lineRule="auto"/>
              <w:ind w:firstLine="0"/>
            </w:pPr>
            <w:r>
              <w:t>原始工作簿中的多个条件字段同时包含政策支持、证件要求和额外限制。经人工复核后保留86家附带条件接纳编码，单独列示，不计入指数。</w:t>
            </w:r>
          </w:p>
        </w:tc>
      </w:tr>
      <w:tr w14:paraId="3C1B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78E30243">
            <w:pPr>
              <w:spacing w:before="0" w:after="0" w:line="269" w:lineRule="auto"/>
              <w:ind w:firstLine="0"/>
            </w:pPr>
            <w:r>
              <w:rPr>
                <w:sz w:val="16"/>
              </w:rPr>
              <w:t>担忧与理由</w:t>
            </w:r>
          </w:p>
        </w:tc>
        <w:tc>
          <w:tcPr>
            <w:tcW w:w="2835" w:type="dxa"/>
            <w:shd w:val="clear" w:color="auto" w:fill="F3F7FA"/>
            <w:tcMar>
              <w:top w:w="90" w:type="dxa"/>
              <w:left w:w="110" w:type="dxa"/>
              <w:bottom w:w="90" w:type="dxa"/>
              <w:right w:w="110" w:type="dxa"/>
            </w:tcMar>
            <w:vAlign w:val="center"/>
          </w:tcPr>
          <w:p w14:paraId="37DAB4A8">
            <w:pPr>
              <w:spacing w:before="0" w:after="0" w:line="269" w:lineRule="auto"/>
              <w:ind w:firstLine="0"/>
            </w:pPr>
            <w:r>
              <w:rPr>
                <w:sz w:val="16"/>
              </w:rPr>
              <w:t>891条可编码回应；1344次担忧与理由标签出现</w:t>
            </w:r>
          </w:p>
        </w:tc>
        <w:tc>
          <w:tcPr>
            <w:tcW w:w="3969" w:type="dxa"/>
            <w:shd w:val="clear" w:color="auto" w:fill="F3F7FA"/>
            <w:tcMar>
              <w:top w:w="90" w:type="dxa"/>
              <w:left w:w="110" w:type="dxa"/>
              <w:bottom w:w="90" w:type="dxa"/>
              <w:right w:w="110" w:type="dxa"/>
            </w:tcMar>
            <w:vAlign w:val="center"/>
          </w:tcPr>
          <w:p w14:paraId="5C5175A9">
            <w:pPr>
              <w:spacing w:before="0" w:after="0" w:line="269" w:lineRule="auto"/>
              <w:ind w:firstLine="0"/>
            </w:pPr>
            <w:r>
              <w:rPr>
                <w:sz w:val="16"/>
              </w:rPr>
              <w:t>属于转写与多标签编码层级，用于原因结构；不与782次独立通话或558家门店相加。</w:t>
            </w:r>
          </w:p>
        </w:tc>
      </w:tr>
    </w:tbl>
    <w:p w14:paraId="0CA4A939">
      <w:pPr>
        <w:pStyle w:val="175"/>
      </w:pPr>
      <w:r>
        <w:t>可核验材料包括《20260523 原始数据.xlsx》、门店级汇总和转写编码结果。原始通话材料和匿名化门店级数据尚未公开；公开数据时应同时提供字段定义、计算过程和匿名化规则。</w:t>
      </w:r>
    </w:p>
    <w:p w14:paraId="3C929082">
      <w:r>
        <w:t>现存通话录音共895段，与782次独立通话不是同一统计单位。独立通话次数来自调查员在工作表中填写的“沟通轮数”；录音文件则由通话录音自动生成：一次通话可能因转接、掉线重拨分成多个文件，部分录音是集团客服热线、总部回电或与调查无关的来电，也有门店的某次通话没有留下录音，或经工作人员手机回电而未能按门店号码对应。按总表的门店电话号码核对，558家门店中有551家找到至少一段录音；与门店号码对应的录音共759段，另有136段为集团客服热线、总部回电、工作人员用手机回电或与调查无关的来电等。逐店核对时，录音段数与填写的沟通轮数一致的有431家，录音多于轮数的有50家，少于轮数的有77家。</w:t>
      </w:r>
    </w:p>
    <w:p w14:paraId="23FCA728">
      <w:pPr>
        <w:pStyle w:val="5"/>
      </w:pPr>
      <w:r>
        <w:t>（二）排名计算与样本敏感性</w:t>
      </w:r>
    </w:p>
    <w:p w14:paraId="2EA56CE5">
      <w:r>
        <w:t xml:space="preserve">样本接纳与沟通指数按6∶2∶2汇总最终接纳率、直接同意率和一次通话接纳率。排序使用未四舍五入得分；同分时依次比较最终接纳率、直接同意率和一次通话接纳率。改变权重或同分规则可能改变部分相邻名次，分项指标保留了三类结果之间的差异。本报告未对其他权重方案逐一重算；指数也不扣除附带条件，若改用无附</w:t>
      </w:r>
      <w:r>
        <w:t xml:space="preserve">带</w:t>
      </w:r>
      <w:r>
        <w:t xml:space="preserve">条件接纳率衡量，附带条件比例较高的城市（如大连、贵阳）会相应下降（见附表1）。</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268"/>
        <w:gridCol w:w="3288"/>
      </w:tblGrid>
      <w:tr w14:paraId="0C33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01" w:type="dxa"/>
            <w:shd w:val="clear" w:color="auto" w:fill="DDEBF7"/>
            <w:tcMar>
              <w:top w:w="90" w:type="dxa"/>
              <w:left w:w="110" w:type="dxa"/>
              <w:bottom w:w="90" w:type="dxa"/>
              <w:right w:w="110" w:type="dxa"/>
            </w:tcMar>
            <w:vAlign w:val="center"/>
          </w:tcPr>
          <w:p w14:paraId="1B4F4BFC">
            <w:pPr>
              <w:keepNext/>
              <w:spacing w:before="0" w:after="0" w:line="252" w:lineRule="auto"/>
              <w:ind w:firstLine="0"/>
            </w:pPr>
            <w:r>
              <w:rPr>
                <w:b/>
                <w:color w:val="17365D"/>
                <w:sz w:val="17"/>
              </w:rPr>
              <w:t>比较单位</w:t>
            </w:r>
          </w:p>
        </w:tc>
        <w:tc>
          <w:tcPr>
            <w:tcW w:w="2268" w:type="dxa"/>
            <w:shd w:val="clear" w:color="auto" w:fill="DDEBF7"/>
            <w:tcMar>
              <w:top w:w="90" w:type="dxa"/>
              <w:left w:w="110" w:type="dxa"/>
              <w:bottom w:w="90" w:type="dxa"/>
              <w:right w:w="110" w:type="dxa"/>
            </w:tcMar>
            <w:vAlign w:val="center"/>
          </w:tcPr>
          <w:p w14:paraId="4C22BE44">
            <w:pPr>
              <w:keepNext/>
              <w:spacing w:before="0" w:after="0" w:line="252" w:lineRule="auto"/>
              <w:ind w:firstLine="0"/>
            </w:pPr>
            <w:r>
              <w:rPr>
                <w:b/>
                <w:color w:val="17365D"/>
                <w:sz w:val="17"/>
              </w:rPr>
              <w:t>本次样本量</w:t>
            </w:r>
          </w:p>
        </w:tc>
        <w:tc>
          <w:tcPr>
            <w:tcW w:w="3288" w:type="dxa"/>
            <w:shd w:val="clear" w:color="auto" w:fill="DDEBF7"/>
            <w:tcMar>
              <w:top w:w="90" w:type="dxa"/>
              <w:left w:w="110" w:type="dxa"/>
              <w:bottom w:w="90" w:type="dxa"/>
              <w:right w:w="110" w:type="dxa"/>
            </w:tcMar>
            <w:vAlign w:val="center"/>
          </w:tcPr>
          <w:p w14:paraId="6BEA07A0">
            <w:pPr>
              <w:keepNext/>
              <w:spacing w:before="0" w:after="0" w:line="252" w:lineRule="auto"/>
              <w:ind w:firstLine="0"/>
            </w:pPr>
            <w:r>
              <w:rPr>
                <w:b/>
                <w:color w:val="17365D"/>
                <w:sz w:val="17"/>
              </w:rPr>
              <w:t>单家门店对比例的影响</w:t>
            </w:r>
          </w:p>
        </w:tc>
      </w:tr>
      <w:tr w14:paraId="0E70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tcMar>
              <w:top w:w="90" w:type="dxa"/>
              <w:left w:w="110" w:type="dxa"/>
              <w:bottom w:w="90" w:type="dxa"/>
              <w:right w:w="110" w:type="dxa"/>
            </w:tcMar>
            <w:vAlign w:val="center"/>
          </w:tcPr>
          <w:p w14:paraId="2ACBF019">
            <w:pPr>
              <w:spacing w:before="0" w:after="0" w:line="252" w:lineRule="auto"/>
              <w:ind w:firstLine="0"/>
            </w:pPr>
            <w:r>
              <w:rPr>
                <w:sz w:val="17"/>
              </w:rPr>
              <w:t>城市</w:t>
            </w:r>
          </w:p>
        </w:tc>
        <w:tc>
          <w:tcPr>
            <w:tcW w:w="2268" w:type="dxa"/>
            <w:tcMar>
              <w:top w:w="90" w:type="dxa"/>
              <w:left w:w="110" w:type="dxa"/>
              <w:bottom w:w="90" w:type="dxa"/>
              <w:right w:w="110" w:type="dxa"/>
            </w:tcMar>
            <w:vAlign w:val="center"/>
          </w:tcPr>
          <w:p w14:paraId="6CC6BE0E">
            <w:pPr>
              <w:spacing w:before="0" w:after="0" w:line="252" w:lineRule="auto"/>
              <w:ind w:firstLine="0"/>
            </w:pPr>
            <w:r>
              <w:rPr>
                <w:sz w:val="17"/>
              </w:rPr>
              <w:t>15—20家</w:t>
            </w:r>
          </w:p>
        </w:tc>
        <w:tc>
          <w:tcPr>
            <w:tcW w:w="3288" w:type="dxa"/>
            <w:tcMar>
              <w:top w:w="90" w:type="dxa"/>
              <w:left w:w="110" w:type="dxa"/>
              <w:bottom w:w="90" w:type="dxa"/>
              <w:right w:w="110" w:type="dxa"/>
            </w:tcMar>
            <w:vAlign w:val="center"/>
          </w:tcPr>
          <w:p w14:paraId="1F760A29">
            <w:pPr>
              <w:spacing w:before="0" w:after="0" w:line="252" w:lineRule="auto"/>
              <w:ind w:firstLine="0"/>
            </w:pPr>
            <w:r>
              <w:rPr>
                <w:sz w:val="17"/>
              </w:rPr>
              <w:t>约5.0—6.7个百分点</w:t>
            </w:r>
          </w:p>
        </w:tc>
      </w:tr>
      <w:tr w14:paraId="10F8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shd w:val="clear" w:color="auto" w:fill="F3F7FA"/>
            <w:tcMar>
              <w:top w:w="90" w:type="dxa"/>
              <w:left w:w="110" w:type="dxa"/>
              <w:bottom w:w="90" w:type="dxa"/>
              <w:right w:w="110" w:type="dxa"/>
            </w:tcMar>
            <w:vAlign w:val="center"/>
          </w:tcPr>
          <w:p w14:paraId="0F54FAAF">
            <w:pPr>
              <w:spacing w:before="0" w:after="0" w:line="252" w:lineRule="auto"/>
              <w:ind w:firstLine="0"/>
            </w:pPr>
            <w:r>
              <w:rPr>
                <w:sz w:val="17"/>
              </w:rPr>
              <w:t>品牌</w:t>
            </w:r>
          </w:p>
        </w:tc>
        <w:tc>
          <w:tcPr>
            <w:tcW w:w="2268" w:type="dxa"/>
            <w:shd w:val="clear" w:color="auto" w:fill="F3F7FA"/>
            <w:tcMar>
              <w:top w:w="90" w:type="dxa"/>
              <w:left w:w="110" w:type="dxa"/>
              <w:bottom w:w="90" w:type="dxa"/>
              <w:right w:w="110" w:type="dxa"/>
            </w:tcMar>
            <w:vAlign w:val="center"/>
          </w:tcPr>
          <w:p w14:paraId="4A21B8C1">
            <w:pPr>
              <w:spacing w:before="0" w:after="0" w:line="252" w:lineRule="auto"/>
              <w:ind w:firstLine="0"/>
            </w:pPr>
            <w:r>
              <w:rPr>
                <w:sz w:val="17"/>
              </w:rPr>
              <w:t>47—60家</w:t>
            </w:r>
          </w:p>
        </w:tc>
        <w:tc>
          <w:tcPr>
            <w:tcW w:w="3288" w:type="dxa"/>
            <w:shd w:val="clear" w:color="auto" w:fill="F3F7FA"/>
            <w:tcMar>
              <w:top w:w="90" w:type="dxa"/>
              <w:left w:w="110" w:type="dxa"/>
              <w:bottom w:w="90" w:type="dxa"/>
              <w:right w:w="110" w:type="dxa"/>
            </w:tcMar>
            <w:vAlign w:val="center"/>
          </w:tcPr>
          <w:p w14:paraId="0AB9B243">
            <w:pPr>
              <w:spacing w:before="0" w:after="0" w:line="252" w:lineRule="auto"/>
              <w:ind w:firstLine="0"/>
            </w:pPr>
            <w:r>
              <w:rPr>
                <w:sz w:val="17"/>
              </w:rPr>
              <w:t>约1.7—2.1个百分点</w:t>
            </w:r>
          </w:p>
        </w:tc>
      </w:tr>
    </w:tbl>
    <w:p w14:paraId="24C4CDD3">
      <w:pPr>
        <w:pStyle w:val="175"/>
      </w:pPr>
      <w:r>
        <w:t>表中百分点反映单家门店结果变化对相应比例的影响，不用于统计显著性判断。城市样本量较小，比例的不确定性较大：以n＝20为例，观察到的50%比例，按Wilson得分区间、将样本近似视为简单随机样本计算，其95%置信区间约为30%—70%；即使观察到0家最终拒绝，95%置信区间的上限也约为16%。由于本调查未采用概率抽样，这些区间只用于说明样本量带来的不确定性，不代表全城门店的实际比例范围；本报告未对相邻名次之间的差异作统计检验，小样本下名次应谨慎解读。</w:t>
      </w:r>
    </w:p>
    <w:p w14:paraId="51C81AC1">
      <w:pPr>
        <w:pStyle w:val="5"/>
      </w:pPr>
      <w:r>
        <w:t>（三）排行解读与局限</w:t>
      </w:r>
    </w:p>
    <w:p w14:paraId="6E402880">
      <w:pPr>
        <w:rPr>
          <w:lang w:eastAsia="zh-CN"/>
        </w:rPr>
      </w:pPr>
      <w:r>
        <w:rPr>
          <w:rFonts w:hint="eastAsia"/>
          <w:lang w:eastAsia="zh-CN"/>
        </w:rPr>
        <w:t>城市排行需要结合调查时间解读。城市排行末7位——天津、上海、青岛、郑州、杭州、秦皇岛、北京——以第一批调查（2023年11月至2024年1月）为主，其中杭州有6家门店于2025年6月致电（见附录一（三））。按通话日期划分，第一批样本的最终接纳率为57.9%，第二批为91.3%；第一批样本占全部样本的23.8%，却占全部最终拒绝的60.2%（56/93）。第一批调查距《无障碍环境建设法》施行约两至四个月，第二批则在2025年5月相关事件引发公众讨论之后（见附录一（三））。调查时间是一个无法排除的因素：由于两批覆盖不同城市和门店，我们无法区分这些差异来自城市本身，还是来自调查时间和社会情境的变化。这些城市现在的接待情况如何，有待在同一时间对各城市重新调查。此外，每座城市只有15—20家样本，相邻名次之间的差异未作统计检验，宜谨慎解读（见附录三（二））。</w:t>
      </w:r>
    </w:p>
    <w:p w14:paraId="5BFD6DCA">
      <w:r>
        <w:t>重庆20家、昆明19家样本均未出现最终拒绝，最终接纳率均为100%；成都20家、深圳17家样本各有1家最终拒绝，最终接纳率分别为95.0%和94.1%。重庆和昆明的领先主要来自没有最终拒绝；成都和深圳虽各有1家拒绝，但直接同意率分别为75.0%和70.6%，仍处于榜单前列。</w:t>
      </w:r>
    </w:p>
    <w:p w14:paraId="2469C14A">
      <w:r>
        <w:t xml:space="preserve">城市样本还呈现出不同结构：珠海和深圳的无附</w:t>
      </w:r>
      <w:r>
        <w:t xml:space="preserve">带</w:t>
      </w:r>
      <w:r>
        <w:t xml:space="preserve">条件接纳率分别为89.5%和88.2%；大连、贵阳没有最终拒绝样本，但附带条件比例都接近40%</w:t>
      </w:r>
      <w:r>
        <w:t xml:space="preserve">；若改以无附</w:t>
      </w:r>
      <w:r>
        <w:t xml:space="preserve">带</w:t>
      </w:r>
      <w:r>
        <w:t xml:space="preserve">条件接纳率衡量，大连和贵阳分别只有61.1%和60.0%</w:t>
      </w:r>
      <w:r>
        <w:t xml:space="preserve">。</w:t>
      </w:r>
      <w:r>
        <w:t xml:space="preserve">对使用者来说，所有</w:t>
      </w:r>
      <w:r>
        <w:t xml:space="preserve">样本</w:t>
      </w:r>
      <w:r>
        <w:t xml:space="preserve">门店最终同意，并不表示能够在同样的收费和使用条件下入住；酒店应主动说明入住所需事项，纠正无依据的收费和限制，让使用者不必另行致电就能弄清实际接待条件。</w:t>
      </w:r>
    </w:p>
    <w:p w14:paraId="01686FE3">
      <w:r>
        <w:t>北京、秦皇岛和杭州位于本次城市样本综合指数的末三位：北京19家样本中有10家最终拒绝，最终拒绝率为52.6%；秦皇岛16家中有8家，为50.0%；杭州20家中有8家，为40.0%。末三位按综合指数排序，并非只看拒绝率：青岛的最终拒绝率为45.0%，高于杭州，但直接同意率和一次通话接纳率较高，综合排名第26位。以上结果对应每城15—20家的调研样本。</w:t>
      </w:r>
    </w:p>
    <w:p w14:paraId="5CF1D26A">
      <w:r>
        <w:t xml:space="preserve">排行以</w:t>
      </w:r>
      <w:r>
        <w:t xml:space="preserve">样本接纳与沟通指数</w:t>
      </w:r>
      <w:r>
        <w:t xml:space="preserve">为准；</w:t>
      </w:r>
      <w:r>
        <w:t xml:space="preserve">指数不扣除附带条件，</w:t>
      </w:r>
      <w:r>
        <w:t xml:space="preserve">需与附带条件比例对照阅读（</w:t>
      </w:r>
      <w:r>
        <w:t xml:space="preserve">见附录二（一）、</w:t>
      </w:r>
      <w:r>
        <w:t xml:space="preserve">附录三（二））。</w:t>
      </w:r>
    </w:p>
    <w:p w14:paraId="17159F82">
      <w:pPr>
        <w:rPr>
          <w:lang w:eastAsia="zh-CN"/>
        </w:rPr>
      </w:pPr>
      <w:r>
        <w:rPr>
          <w:rFonts w:hint="eastAsia"/>
          <w:lang w:eastAsia="zh-CN"/>
        </w:rPr>
        <w:t xml:space="preserve">排行反映调研期间样本门店的接待表现，首先供酒店集团和主管部门对照改进，也可供使用者参考；但受样本量和调研时间所限，它不能保证某家门店当前的答复或实际入住结果，具体门店的答复仍可能不同。</w:t>
      </w:r>
      <w:r>
        <w:rPr>
          <w:rFonts w:hint="eastAsia"/>
          <w:lang w:eastAsia="zh-CN"/>
        </w:rPr>
        <w:t xml:space="preserve">品牌排行同样需要结合调查时间解读</w:t>
      </w:r>
      <w:r>
        <w:rPr>
          <w:rFonts w:hint="eastAsia"/>
          <w:lang w:eastAsia="zh-CN"/>
        </w:rPr>
        <w:t xml:space="preserve">（见附录一（三））</w:t>
      </w:r>
      <w:r>
        <w:rPr>
          <w:rFonts w:hint="eastAsia"/>
          <w:lang w:eastAsia="zh-CN"/>
        </w:rPr>
        <w:t xml:space="preserve">。</w:t>
      </w:r>
    </w:p>
    <w:p w14:paraId="2D18D851">
      <w:pPr>
        <w:pStyle w:val="5"/>
      </w:pPr>
      <w:r>
        <w:t>（四）酒店集团书面回应</w:t>
      </w:r>
    </w:p>
    <w:p w14:paraId="2D2F6BE6">
      <w:r>
        <w:t>研究团队已于</w:t>
      </w:r>
      <w:r>
        <w:rPr>
          <w:highlight w:val="yellow"/>
        </w:rPr>
        <w:t>【待补充：日期】</w:t>
      </w:r>
      <w:r>
        <w:t>通过</w:t>
      </w:r>
      <w:r>
        <w:rPr>
          <w:highlight w:val="yellow"/>
        </w:rPr>
        <w:t>【待补充：方式】</w:t>
      </w:r>
      <w:r>
        <w:t>向6家酒店集团发送调查结果并邀请回应。截至</w:t>
      </w:r>
      <w:r>
        <w:rPr>
          <w:highlight w:val="yellow"/>
        </w:rPr>
        <w:t>【待补充：定稿日期】</w:t>
      </w:r>
      <w:r>
        <w:t>，未收到酒店集团针对本次调查结果的正式书面反馈。后续收到的正式回应应标注回应主体、日期和出处；调研期间形成的原始通话记录保持不变。</w:t>
      </w:r>
      <w:r>
        <w:t xml:space="preserve">2026年10月公开信息补充（见第二章一（二））引用的集团官网和门店页面属于公开书面信息，不是酒店集团对本次调查的正式回应。</w:t>
      </w:r>
    </w:p>
    <w:p w14:paraId="20C0219B">
      <w:pPr>
        <w:pStyle w:val="4"/>
      </w:pPr>
      <w:bookmarkStart w:id="65" w:name="_Toc242417927"/>
      <w:bookmarkStart w:id="66" w:name="_Toc239432627"/>
      <w:r>
        <w:t>四 城市样本明细</w:t>
      </w:r>
      <w:bookmarkEnd w:id="65"/>
      <w:bookmarkEnd w:id="66"/>
    </w:p>
    <w:p w14:paraId="05D5EC36">
      <w:r>
        <w:t>各城市比例会受个别门店影响，完整数值列于附表1；各城市样本量见附录一（一）。</w:t>
      </w:r>
    </w:p>
    <w:p w14:paraId="7AD3903B">
      <w:pPr>
        <w:pStyle w:val="174"/>
      </w:pPr>
      <w:r>
        <w:t>附表1　城市样本结果（按直接同意率从高到低）</w:t>
      </w:r>
    </w:p>
    <w:tbl>
      <w:tblPr>
        <w:tblStyle w:val="39"/>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134"/>
        <w:gridCol w:w="567"/>
        <w:gridCol w:w="1531"/>
        <w:gridCol w:w="1531"/>
        <w:gridCol w:w="1757"/>
        <w:gridCol w:w="1871"/>
      </w:tblGrid>
      <w:tr w14:paraId="5D7312F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134" w:type="dxa"/>
            <w:shd w:val="clear" w:color="auto" w:fill="DDE6F0"/>
            <w:vAlign w:val="center"/>
          </w:tcPr>
          <w:p w14:paraId="2151259D">
            <w:pPr>
              <w:keepNext/>
              <w:spacing w:before="0" w:after="0" w:line="269" w:lineRule="auto"/>
              <w:ind w:firstLine="0"/>
              <w:jc w:val="center"/>
            </w:pPr>
            <w:r>
              <w:rPr>
                <w:rFonts w:ascii="微软雅黑" w:hAnsi="微软雅黑" w:eastAsia="微软雅黑"/>
                <w:b/>
                <w:color w:val="263238"/>
                <w:sz w:val="14"/>
              </w:rPr>
              <w:t>城市</w:t>
            </w:r>
          </w:p>
        </w:tc>
        <w:tc>
          <w:tcPr>
            <w:tcW w:w="567" w:type="dxa"/>
            <w:shd w:val="clear" w:color="auto" w:fill="DDE6F0"/>
            <w:vAlign w:val="center"/>
          </w:tcPr>
          <w:p w14:paraId="411CCD61">
            <w:pPr>
              <w:keepNext/>
              <w:spacing w:before="0" w:after="0" w:line="269" w:lineRule="auto"/>
              <w:ind w:firstLine="0"/>
              <w:jc w:val="center"/>
            </w:pPr>
            <w:r>
              <w:rPr>
                <w:rFonts w:ascii="微软雅黑" w:hAnsi="微软雅黑" w:eastAsia="微软雅黑"/>
                <w:b/>
                <w:color w:val="263238"/>
                <w:sz w:val="14"/>
              </w:rPr>
              <w:t>n</w:t>
            </w:r>
          </w:p>
        </w:tc>
        <w:tc>
          <w:tcPr>
            <w:tcW w:w="1531" w:type="dxa"/>
            <w:shd w:val="clear" w:color="auto" w:fill="DDE6F0"/>
            <w:vAlign w:val="center"/>
          </w:tcPr>
          <w:p w14:paraId="08FFD7CF">
            <w:pPr>
              <w:keepNext/>
              <w:spacing w:before="0" w:after="0" w:line="269" w:lineRule="auto"/>
              <w:ind w:firstLine="0"/>
              <w:jc w:val="center"/>
            </w:pPr>
            <w:r>
              <w:rPr>
                <w:rFonts w:ascii="微软雅黑" w:hAnsi="微软雅黑" w:eastAsia="微软雅黑"/>
                <w:b/>
                <w:color w:val="263238"/>
                <w:sz w:val="14"/>
              </w:rPr>
              <w:t>直接同意</w:t>
            </w:r>
          </w:p>
        </w:tc>
        <w:tc>
          <w:tcPr>
            <w:tcW w:w="1531" w:type="dxa"/>
            <w:shd w:val="clear" w:color="auto" w:fill="DDE6F0"/>
            <w:vAlign w:val="center"/>
          </w:tcPr>
          <w:p w14:paraId="5A06E44F">
            <w:pPr>
              <w:keepNext/>
              <w:spacing w:before="0" w:after="0" w:line="269" w:lineRule="auto"/>
              <w:ind w:firstLine="0"/>
              <w:jc w:val="center"/>
            </w:pPr>
            <w:r>
              <w:rPr>
                <w:rFonts w:ascii="微软雅黑" w:hAnsi="微软雅黑" w:eastAsia="微软雅黑"/>
                <w:b/>
                <w:color w:val="263238"/>
                <w:sz w:val="14"/>
              </w:rPr>
              <w:t>最终拒绝</w:t>
            </w:r>
          </w:p>
        </w:tc>
        <w:tc>
          <w:tcPr>
            <w:tcW w:w="1757" w:type="dxa"/>
            <w:shd w:val="clear" w:color="auto" w:fill="DDE6F0"/>
            <w:vAlign w:val="center"/>
          </w:tcPr>
          <w:p w14:paraId="557188CF">
            <w:pPr>
              <w:keepNext/>
              <w:spacing w:before="0" w:after="0" w:line="269" w:lineRule="auto"/>
              <w:ind w:firstLine="0"/>
              <w:jc w:val="center"/>
            </w:pPr>
            <w:r>
              <w:rPr>
                <w:rFonts w:ascii="微软雅黑" w:hAnsi="微软雅黑" w:eastAsia="微软雅黑"/>
                <w:b/>
                <w:color w:val="263238"/>
                <w:sz w:val="14"/>
              </w:rPr>
              <w:t>2次及以上</w:t>
            </w:r>
          </w:p>
        </w:tc>
        <w:tc>
          <w:tcPr>
            <w:tcW w:w="1871" w:type="dxa"/>
            <w:shd w:val="clear" w:color="auto" w:fill="DDE6F0"/>
            <w:vAlign w:val="center"/>
          </w:tcPr>
          <w:p w14:paraId="7F9A4C6E">
            <w:pPr>
              <w:keepNext/>
              <w:spacing w:before="0" w:after="0" w:line="269" w:lineRule="auto"/>
              <w:ind w:firstLine="0"/>
              <w:jc w:val="center"/>
            </w:pPr>
            <w:r>
              <w:rPr>
                <w:rFonts w:ascii="微软雅黑" w:hAnsi="微软雅黑" w:eastAsia="微软雅黑"/>
                <w:b/>
                <w:color w:val="263238"/>
                <w:sz w:val="14"/>
              </w:rPr>
              <w:t>附带条件接纳</w:t>
            </w:r>
          </w:p>
        </w:tc>
      </w:tr>
      <w:tr w14:paraId="12C60EF8">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2AC7E01">
            <w:pPr>
              <w:spacing w:before="0" w:after="0" w:line="269" w:lineRule="auto"/>
              <w:ind w:firstLine="0"/>
              <w:jc w:val="center"/>
            </w:pPr>
            <w:r>
              <w:rPr>
                <w:rFonts w:ascii="微软雅黑" w:hAnsi="微软雅黑" w:eastAsia="微软雅黑"/>
                <w:color w:val="263238"/>
                <w:sz w:val="14"/>
              </w:rPr>
              <w:t>长治</w:t>
            </w:r>
          </w:p>
        </w:tc>
        <w:tc>
          <w:tcPr>
            <w:tcW w:w="567" w:type="dxa"/>
            <w:vAlign w:val="center"/>
          </w:tcPr>
          <w:p w14:paraId="4E6ABD23">
            <w:pPr>
              <w:spacing w:before="0" w:after="0" w:line="269" w:lineRule="auto"/>
              <w:ind w:firstLine="0"/>
              <w:jc w:val="center"/>
            </w:pPr>
            <w:r>
              <w:rPr>
                <w:rFonts w:ascii="微软雅黑" w:hAnsi="微软雅黑" w:eastAsia="微软雅黑"/>
                <w:color w:val="263238"/>
                <w:sz w:val="14"/>
              </w:rPr>
              <w:t>15</w:t>
            </w:r>
          </w:p>
        </w:tc>
        <w:tc>
          <w:tcPr>
            <w:tcW w:w="1531" w:type="dxa"/>
            <w:vAlign w:val="center"/>
          </w:tcPr>
          <w:p w14:paraId="6FE6BA35">
            <w:pPr>
              <w:spacing w:before="0" w:after="0" w:line="269" w:lineRule="auto"/>
              <w:ind w:firstLine="0"/>
              <w:jc w:val="center"/>
            </w:pPr>
            <w:r>
              <w:rPr>
                <w:rFonts w:ascii="微软雅黑" w:hAnsi="微软雅黑" w:eastAsia="微软雅黑"/>
                <w:color w:val="263238"/>
                <w:sz w:val="14"/>
              </w:rPr>
              <w:t>12（80.0%）</w:t>
            </w:r>
          </w:p>
        </w:tc>
        <w:tc>
          <w:tcPr>
            <w:tcW w:w="1531" w:type="dxa"/>
            <w:vAlign w:val="center"/>
          </w:tcPr>
          <w:p w14:paraId="018282F0">
            <w:pPr>
              <w:spacing w:before="0" w:after="0" w:line="269" w:lineRule="auto"/>
              <w:ind w:firstLine="0"/>
              <w:jc w:val="center"/>
            </w:pPr>
            <w:r>
              <w:rPr>
                <w:rFonts w:ascii="微软雅黑" w:hAnsi="微软雅黑" w:eastAsia="微软雅黑"/>
                <w:color w:val="263238"/>
                <w:sz w:val="14"/>
              </w:rPr>
              <w:t>2（13.3%）</w:t>
            </w:r>
          </w:p>
        </w:tc>
        <w:tc>
          <w:tcPr>
            <w:tcW w:w="1757" w:type="dxa"/>
            <w:vAlign w:val="center"/>
          </w:tcPr>
          <w:p w14:paraId="06E5D216">
            <w:pPr>
              <w:spacing w:before="0" w:after="0" w:line="269" w:lineRule="auto"/>
              <w:ind w:firstLine="0"/>
              <w:jc w:val="center"/>
            </w:pPr>
            <w:r>
              <w:rPr>
                <w:rFonts w:ascii="微软雅黑" w:hAnsi="微软雅黑" w:eastAsia="微软雅黑"/>
                <w:color w:val="263238"/>
                <w:sz w:val="14"/>
              </w:rPr>
              <w:t>1（6.7%）</w:t>
            </w:r>
          </w:p>
        </w:tc>
        <w:tc>
          <w:tcPr>
            <w:tcW w:w="1871" w:type="dxa"/>
            <w:vAlign w:val="center"/>
          </w:tcPr>
          <w:p w14:paraId="39B93F81">
            <w:pPr>
              <w:spacing w:before="0" w:after="0" w:line="269" w:lineRule="auto"/>
              <w:ind w:firstLine="0"/>
              <w:jc w:val="center"/>
            </w:pPr>
            <w:r>
              <w:rPr>
                <w:rFonts w:ascii="微软雅黑" w:hAnsi="微软雅黑" w:eastAsia="微软雅黑"/>
                <w:color w:val="263238"/>
                <w:sz w:val="14"/>
              </w:rPr>
              <w:t>3（20.0%）</w:t>
            </w:r>
          </w:p>
        </w:tc>
      </w:tr>
      <w:tr w14:paraId="69BACF7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3390CD2">
            <w:pPr>
              <w:spacing w:before="0" w:after="0" w:line="269" w:lineRule="auto"/>
              <w:ind w:firstLine="0"/>
              <w:jc w:val="center"/>
            </w:pPr>
            <w:r>
              <w:rPr>
                <w:rFonts w:ascii="微软雅黑" w:hAnsi="微软雅黑" w:eastAsia="微软雅黑"/>
                <w:color w:val="263238"/>
                <w:sz w:val="14"/>
              </w:rPr>
              <w:t>桂林</w:t>
            </w:r>
          </w:p>
        </w:tc>
        <w:tc>
          <w:tcPr>
            <w:tcW w:w="567" w:type="dxa"/>
            <w:vAlign w:val="center"/>
          </w:tcPr>
          <w:p w14:paraId="4EADAE21">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77FDF9A8">
            <w:pPr>
              <w:spacing w:before="0" w:after="0" w:line="269" w:lineRule="auto"/>
              <w:ind w:firstLine="0"/>
              <w:jc w:val="center"/>
            </w:pPr>
            <w:r>
              <w:rPr>
                <w:rFonts w:ascii="微软雅黑" w:hAnsi="微软雅黑" w:eastAsia="微软雅黑"/>
                <w:color w:val="263238"/>
                <w:sz w:val="14"/>
              </w:rPr>
              <w:t>13（76.5%）</w:t>
            </w:r>
          </w:p>
        </w:tc>
        <w:tc>
          <w:tcPr>
            <w:tcW w:w="1531" w:type="dxa"/>
            <w:vAlign w:val="center"/>
          </w:tcPr>
          <w:p w14:paraId="655FA1C8">
            <w:pPr>
              <w:spacing w:before="0" w:after="0" w:line="269" w:lineRule="auto"/>
              <w:ind w:firstLine="0"/>
              <w:jc w:val="center"/>
            </w:pPr>
            <w:r>
              <w:rPr>
                <w:rFonts w:ascii="微软雅黑" w:hAnsi="微软雅黑" w:eastAsia="微软雅黑"/>
                <w:color w:val="263238"/>
                <w:sz w:val="14"/>
              </w:rPr>
              <w:t>3（17.6%）</w:t>
            </w:r>
          </w:p>
        </w:tc>
        <w:tc>
          <w:tcPr>
            <w:tcW w:w="1757" w:type="dxa"/>
            <w:vAlign w:val="center"/>
          </w:tcPr>
          <w:p w14:paraId="20CE6A52">
            <w:pPr>
              <w:spacing w:before="0" w:after="0" w:line="269" w:lineRule="auto"/>
              <w:ind w:firstLine="0"/>
              <w:jc w:val="center"/>
            </w:pPr>
            <w:r>
              <w:rPr>
                <w:rFonts w:ascii="微软雅黑" w:hAnsi="微软雅黑" w:eastAsia="微软雅黑"/>
                <w:color w:val="263238"/>
                <w:sz w:val="14"/>
              </w:rPr>
              <w:t>2（11.8%）</w:t>
            </w:r>
          </w:p>
        </w:tc>
        <w:tc>
          <w:tcPr>
            <w:tcW w:w="1871" w:type="dxa"/>
            <w:vAlign w:val="center"/>
          </w:tcPr>
          <w:p w14:paraId="29D19E83">
            <w:pPr>
              <w:spacing w:before="0" w:after="0" w:line="269" w:lineRule="auto"/>
              <w:ind w:firstLine="0"/>
              <w:jc w:val="center"/>
            </w:pPr>
            <w:r>
              <w:rPr>
                <w:rFonts w:ascii="微软雅黑" w:hAnsi="微软雅黑" w:eastAsia="微软雅黑"/>
                <w:color w:val="263238"/>
                <w:sz w:val="14"/>
              </w:rPr>
              <w:t>3（17.6%）</w:t>
            </w:r>
          </w:p>
        </w:tc>
      </w:tr>
      <w:tr w14:paraId="28237FE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EB529AC">
            <w:pPr>
              <w:spacing w:before="0" w:after="0" w:line="269" w:lineRule="auto"/>
              <w:ind w:firstLine="0"/>
              <w:jc w:val="center"/>
            </w:pPr>
            <w:r>
              <w:rPr>
                <w:rFonts w:ascii="微软雅黑" w:hAnsi="微软雅黑" w:eastAsia="微软雅黑"/>
                <w:color w:val="263238"/>
                <w:sz w:val="14"/>
              </w:rPr>
              <w:t>成都</w:t>
            </w:r>
          </w:p>
        </w:tc>
        <w:tc>
          <w:tcPr>
            <w:tcW w:w="567" w:type="dxa"/>
            <w:vAlign w:val="center"/>
          </w:tcPr>
          <w:p w14:paraId="470C7C7B">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45106216">
            <w:pPr>
              <w:spacing w:before="0" w:after="0" w:line="269" w:lineRule="auto"/>
              <w:ind w:firstLine="0"/>
              <w:jc w:val="center"/>
            </w:pPr>
            <w:r>
              <w:rPr>
                <w:rFonts w:ascii="微软雅黑" w:hAnsi="微软雅黑" w:eastAsia="微软雅黑"/>
                <w:color w:val="263238"/>
                <w:sz w:val="14"/>
              </w:rPr>
              <w:t>15（75.0%）</w:t>
            </w:r>
          </w:p>
        </w:tc>
        <w:tc>
          <w:tcPr>
            <w:tcW w:w="1531" w:type="dxa"/>
            <w:vAlign w:val="center"/>
          </w:tcPr>
          <w:p w14:paraId="208FB2F2">
            <w:pPr>
              <w:spacing w:before="0" w:after="0" w:line="269" w:lineRule="auto"/>
              <w:ind w:firstLine="0"/>
              <w:jc w:val="center"/>
            </w:pPr>
            <w:r>
              <w:rPr>
                <w:rFonts w:ascii="微软雅黑" w:hAnsi="微软雅黑" w:eastAsia="微软雅黑"/>
                <w:color w:val="263238"/>
                <w:sz w:val="14"/>
              </w:rPr>
              <w:t>1（5.0%）</w:t>
            </w:r>
          </w:p>
        </w:tc>
        <w:tc>
          <w:tcPr>
            <w:tcW w:w="1757" w:type="dxa"/>
            <w:vAlign w:val="center"/>
          </w:tcPr>
          <w:p w14:paraId="43D0B64B">
            <w:pPr>
              <w:spacing w:before="0" w:after="0" w:line="269" w:lineRule="auto"/>
              <w:ind w:firstLine="0"/>
              <w:jc w:val="center"/>
            </w:pPr>
            <w:r>
              <w:rPr>
                <w:rFonts w:ascii="微软雅黑" w:hAnsi="微软雅黑" w:eastAsia="微软雅黑"/>
                <w:color w:val="263238"/>
                <w:sz w:val="14"/>
              </w:rPr>
              <w:t>5（25.0%）</w:t>
            </w:r>
          </w:p>
        </w:tc>
        <w:tc>
          <w:tcPr>
            <w:tcW w:w="1871" w:type="dxa"/>
            <w:vAlign w:val="center"/>
          </w:tcPr>
          <w:p w14:paraId="38EE46EB">
            <w:pPr>
              <w:spacing w:before="0" w:after="0" w:line="269" w:lineRule="auto"/>
              <w:ind w:firstLine="0"/>
              <w:jc w:val="center"/>
            </w:pPr>
            <w:r>
              <w:rPr>
                <w:rFonts w:ascii="微软雅黑" w:hAnsi="微软雅黑" w:eastAsia="微软雅黑"/>
                <w:color w:val="263238"/>
                <w:sz w:val="14"/>
              </w:rPr>
              <w:t>5（25.0%）</w:t>
            </w:r>
          </w:p>
        </w:tc>
      </w:tr>
      <w:tr w14:paraId="0AECE9C1">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4EDEB1F">
            <w:pPr>
              <w:spacing w:before="0" w:after="0" w:line="269" w:lineRule="auto"/>
              <w:ind w:firstLine="0"/>
              <w:jc w:val="center"/>
            </w:pPr>
            <w:r>
              <w:rPr>
                <w:rFonts w:ascii="微软雅黑" w:hAnsi="微软雅黑" w:eastAsia="微软雅黑"/>
                <w:color w:val="263238"/>
                <w:sz w:val="14"/>
              </w:rPr>
              <w:t>珠海</w:t>
            </w:r>
          </w:p>
        </w:tc>
        <w:tc>
          <w:tcPr>
            <w:tcW w:w="567" w:type="dxa"/>
            <w:vAlign w:val="center"/>
          </w:tcPr>
          <w:p w14:paraId="66620549">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5971B9A1">
            <w:pPr>
              <w:spacing w:before="0" w:after="0" w:line="269" w:lineRule="auto"/>
              <w:ind w:firstLine="0"/>
              <w:jc w:val="center"/>
            </w:pPr>
            <w:r>
              <w:rPr>
                <w:rFonts w:ascii="微软雅黑" w:hAnsi="微软雅黑" w:eastAsia="微软雅黑"/>
                <w:color w:val="263238"/>
                <w:sz w:val="14"/>
              </w:rPr>
              <w:t>14（73.7%）</w:t>
            </w:r>
          </w:p>
        </w:tc>
        <w:tc>
          <w:tcPr>
            <w:tcW w:w="1531" w:type="dxa"/>
            <w:vAlign w:val="center"/>
          </w:tcPr>
          <w:p w14:paraId="7AEB35D8">
            <w:pPr>
              <w:spacing w:before="0" w:after="0" w:line="269" w:lineRule="auto"/>
              <w:ind w:firstLine="0"/>
              <w:jc w:val="center"/>
            </w:pPr>
            <w:r>
              <w:rPr>
                <w:rFonts w:ascii="微软雅黑" w:hAnsi="微软雅黑" w:eastAsia="微软雅黑"/>
                <w:color w:val="263238"/>
                <w:sz w:val="14"/>
              </w:rPr>
              <w:t>2（10.5%）</w:t>
            </w:r>
          </w:p>
        </w:tc>
        <w:tc>
          <w:tcPr>
            <w:tcW w:w="1757" w:type="dxa"/>
            <w:vAlign w:val="center"/>
          </w:tcPr>
          <w:p w14:paraId="2C7D8FF0">
            <w:pPr>
              <w:spacing w:before="0" w:after="0" w:line="269" w:lineRule="auto"/>
              <w:ind w:firstLine="0"/>
              <w:jc w:val="center"/>
            </w:pPr>
            <w:r>
              <w:rPr>
                <w:rFonts w:ascii="微软雅黑" w:hAnsi="微软雅黑" w:eastAsia="微软雅黑"/>
                <w:color w:val="263238"/>
                <w:sz w:val="14"/>
              </w:rPr>
              <w:t>5（26.3%）</w:t>
            </w:r>
          </w:p>
        </w:tc>
        <w:tc>
          <w:tcPr>
            <w:tcW w:w="1871" w:type="dxa"/>
            <w:vAlign w:val="center"/>
          </w:tcPr>
          <w:p w14:paraId="6807B663">
            <w:pPr>
              <w:spacing w:before="0" w:after="0" w:line="269" w:lineRule="auto"/>
              <w:ind w:firstLine="0"/>
              <w:jc w:val="center"/>
            </w:pPr>
            <w:r>
              <w:rPr>
                <w:rFonts w:ascii="微软雅黑" w:hAnsi="微软雅黑" w:eastAsia="微软雅黑"/>
                <w:color w:val="263238"/>
                <w:sz w:val="14"/>
              </w:rPr>
              <w:t>0（0.0%）</w:t>
            </w:r>
          </w:p>
        </w:tc>
      </w:tr>
      <w:tr w14:paraId="1902E5D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DD05945">
            <w:pPr>
              <w:spacing w:before="0" w:after="0" w:line="269" w:lineRule="auto"/>
              <w:ind w:firstLine="0"/>
              <w:jc w:val="center"/>
            </w:pPr>
            <w:r>
              <w:rPr>
                <w:rFonts w:ascii="微软雅黑" w:hAnsi="微软雅黑" w:eastAsia="微软雅黑"/>
                <w:color w:val="263238"/>
                <w:sz w:val="14"/>
              </w:rPr>
              <w:t>深圳</w:t>
            </w:r>
          </w:p>
        </w:tc>
        <w:tc>
          <w:tcPr>
            <w:tcW w:w="567" w:type="dxa"/>
            <w:vAlign w:val="center"/>
          </w:tcPr>
          <w:p w14:paraId="7CFD82D4">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24910C42">
            <w:pPr>
              <w:spacing w:before="0" w:after="0" w:line="269" w:lineRule="auto"/>
              <w:ind w:firstLine="0"/>
              <w:jc w:val="center"/>
            </w:pPr>
            <w:r>
              <w:rPr>
                <w:rFonts w:ascii="微软雅黑" w:hAnsi="微软雅黑" w:eastAsia="微软雅黑"/>
                <w:color w:val="263238"/>
                <w:sz w:val="14"/>
              </w:rPr>
              <w:t>12（70.6%）</w:t>
            </w:r>
          </w:p>
        </w:tc>
        <w:tc>
          <w:tcPr>
            <w:tcW w:w="1531" w:type="dxa"/>
            <w:vAlign w:val="center"/>
          </w:tcPr>
          <w:p w14:paraId="6B900296">
            <w:pPr>
              <w:spacing w:before="0" w:after="0" w:line="269" w:lineRule="auto"/>
              <w:ind w:firstLine="0"/>
              <w:jc w:val="center"/>
            </w:pPr>
            <w:r>
              <w:rPr>
                <w:rFonts w:ascii="微软雅黑" w:hAnsi="微软雅黑" w:eastAsia="微软雅黑"/>
                <w:color w:val="263238"/>
                <w:sz w:val="14"/>
              </w:rPr>
              <w:t>1（5.9%）</w:t>
            </w:r>
          </w:p>
        </w:tc>
        <w:tc>
          <w:tcPr>
            <w:tcW w:w="1757" w:type="dxa"/>
            <w:vAlign w:val="center"/>
          </w:tcPr>
          <w:p w14:paraId="0EC020B1">
            <w:pPr>
              <w:spacing w:before="0" w:after="0" w:line="269" w:lineRule="auto"/>
              <w:ind w:firstLine="0"/>
              <w:jc w:val="center"/>
            </w:pPr>
            <w:r>
              <w:rPr>
                <w:rFonts w:ascii="微软雅黑" w:hAnsi="微软雅黑" w:eastAsia="微软雅黑"/>
                <w:color w:val="263238"/>
                <w:sz w:val="14"/>
              </w:rPr>
              <w:t>4（23.5%）</w:t>
            </w:r>
          </w:p>
        </w:tc>
        <w:tc>
          <w:tcPr>
            <w:tcW w:w="1871" w:type="dxa"/>
            <w:vAlign w:val="center"/>
          </w:tcPr>
          <w:p w14:paraId="7BB2E4DD">
            <w:pPr>
              <w:spacing w:before="0" w:after="0" w:line="269" w:lineRule="auto"/>
              <w:ind w:firstLine="0"/>
              <w:jc w:val="center"/>
            </w:pPr>
            <w:r>
              <w:rPr>
                <w:rFonts w:ascii="微软雅黑" w:hAnsi="微软雅黑" w:eastAsia="微软雅黑"/>
                <w:color w:val="263238"/>
                <w:sz w:val="14"/>
              </w:rPr>
              <w:t>1（5.9%）</w:t>
            </w:r>
          </w:p>
        </w:tc>
      </w:tr>
      <w:tr w14:paraId="7C52FD1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F37AD17">
            <w:pPr>
              <w:spacing w:before="0" w:after="0" w:line="269" w:lineRule="auto"/>
              <w:ind w:firstLine="0"/>
              <w:jc w:val="center"/>
            </w:pPr>
            <w:r>
              <w:rPr>
                <w:rFonts w:ascii="微软雅黑" w:hAnsi="微软雅黑" w:eastAsia="微软雅黑"/>
                <w:color w:val="263238"/>
                <w:sz w:val="14"/>
              </w:rPr>
              <w:t>重庆</w:t>
            </w:r>
          </w:p>
        </w:tc>
        <w:tc>
          <w:tcPr>
            <w:tcW w:w="567" w:type="dxa"/>
            <w:vAlign w:val="center"/>
          </w:tcPr>
          <w:p w14:paraId="35F8123D">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8E0818F">
            <w:pPr>
              <w:spacing w:before="0" w:after="0" w:line="269" w:lineRule="auto"/>
              <w:ind w:firstLine="0"/>
              <w:jc w:val="center"/>
            </w:pPr>
            <w:r>
              <w:rPr>
                <w:rFonts w:ascii="微软雅黑" w:hAnsi="微软雅黑" w:eastAsia="微软雅黑"/>
                <w:color w:val="263238"/>
                <w:sz w:val="14"/>
              </w:rPr>
              <w:t>14（70.0%）</w:t>
            </w:r>
          </w:p>
        </w:tc>
        <w:tc>
          <w:tcPr>
            <w:tcW w:w="1531" w:type="dxa"/>
            <w:vAlign w:val="center"/>
          </w:tcPr>
          <w:p w14:paraId="27D704CC">
            <w:pPr>
              <w:spacing w:before="0" w:after="0" w:line="269" w:lineRule="auto"/>
              <w:ind w:firstLine="0"/>
              <w:jc w:val="center"/>
            </w:pPr>
            <w:r>
              <w:rPr>
                <w:rFonts w:ascii="微软雅黑" w:hAnsi="微软雅黑" w:eastAsia="微软雅黑"/>
                <w:color w:val="263238"/>
                <w:sz w:val="14"/>
              </w:rPr>
              <w:t>0（0.0%）</w:t>
            </w:r>
          </w:p>
        </w:tc>
        <w:tc>
          <w:tcPr>
            <w:tcW w:w="1757" w:type="dxa"/>
            <w:vAlign w:val="center"/>
          </w:tcPr>
          <w:p w14:paraId="7EDFC246">
            <w:pPr>
              <w:spacing w:before="0" w:after="0" w:line="269" w:lineRule="auto"/>
              <w:ind w:firstLine="0"/>
              <w:jc w:val="center"/>
            </w:pPr>
            <w:r>
              <w:rPr>
                <w:rFonts w:ascii="微软雅黑" w:hAnsi="微软雅黑" w:eastAsia="微软雅黑"/>
                <w:color w:val="263238"/>
                <w:sz w:val="14"/>
              </w:rPr>
              <w:t>5（25.0%）</w:t>
            </w:r>
          </w:p>
        </w:tc>
        <w:tc>
          <w:tcPr>
            <w:tcW w:w="1871" w:type="dxa"/>
            <w:vAlign w:val="center"/>
          </w:tcPr>
          <w:p w14:paraId="692CF229">
            <w:pPr>
              <w:spacing w:before="0" w:after="0" w:line="269" w:lineRule="auto"/>
              <w:ind w:firstLine="0"/>
              <w:jc w:val="center"/>
            </w:pPr>
            <w:r>
              <w:rPr>
                <w:rFonts w:ascii="微软雅黑" w:hAnsi="微软雅黑" w:eastAsia="微软雅黑"/>
                <w:color w:val="263238"/>
                <w:sz w:val="14"/>
              </w:rPr>
              <w:t>3（15.0%）</w:t>
            </w:r>
          </w:p>
        </w:tc>
      </w:tr>
      <w:tr w14:paraId="6E0389B9">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6C522CC">
            <w:pPr>
              <w:spacing w:before="0" w:after="0" w:line="269" w:lineRule="auto"/>
              <w:ind w:firstLine="0"/>
              <w:jc w:val="center"/>
            </w:pPr>
            <w:r>
              <w:rPr>
                <w:rFonts w:ascii="微软雅黑" w:hAnsi="微软雅黑" w:eastAsia="微软雅黑"/>
                <w:color w:val="263238"/>
                <w:sz w:val="14"/>
              </w:rPr>
              <w:t>南京</w:t>
            </w:r>
          </w:p>
        </w:tc>
        <w:tc>
          <w:tcPr>
            <w:tcW w:w="567" w:type="dxa"/>
            <w:vAlign w:val="center"/>
          </w:tcPr>
          <w:p w14:paraId="23D496E5">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2DAD9E2B">
            <w:pPr>
              <w:spacing w:before="0" w:after="0" w:line="269" w:lineRule="auto"/>
              <w:ind w:firstLine="0"/>
              <w:jc w:val="center"/>
            </w:pPr>
            <w:r>
              <w:rPr>
                <w:rFonts w:ascii="微软雅黑" w:hAnsi="微软雅黑" w:eastAsia="微软雅黑"/>
                <w:color w:val="263238"/>
                <w:sz w:val="14"/>
              </w:rPr>
              <w:t>13（68.4%）</w:t>
            </w:r>
          </w:p>
        </w:tc>
        <w:tc>
          <w:tcPr>
            <w:tcW w:w="1531" w:type="dxa"/>
            <w:vAlign w:val="center"/>
          </w:tcPr>
          <w:p w14:paraId="78999C54">
            <w:pPr>
              <w:spacing w:before="0" w:after="0" w:line="269" w:lineRule="auto"/>
              <w:ind w:firstLine="0"/>
              <w:jc w:val="center"/>
            </w:pPr>
            <w:r>
              <w:rPr>
                <w:rFonts w:ascii="微软雅黑" w:hAnsi="微软雅黑" w:eastAsia="微软雅黑"/>
                <w:color w:val="263238"/>
                <w:sz w:val="14"/>
              </w:rPr>
              <w:t>1（5.3%）</w:t>
            </w:r>
          </w:p>
        </w:tc>
        <w:tc>
          <w:tcPr>
            <w:tcW w:w="1757" w:type="dxa"/>
            <w:vAlign w:val="center"/>
          </w:tcPr>
          <w:p w14:paraId="380F3202">
            <w:pPr>
              <w:spacing w:before="0" w:after="0" w:line="269" w:lineRule="auto"/>
              <w:ind w:firstLine="0"/>
              <w:jc w:val="center"/>
            </w:pPr>
            <w:r>
              <w:rPr>
                <w:rFonts w:ascii="微软雅黑" w:hAnsi="微软雅黑" w:eastAsia="微软雅黑"/>
                <w:color w:val="263238"/>
                <w:sz w:val="14"/>
              </w:rPr>
              <w:t>4（21.1%）</w:t>
            </w:r>
          </w:p>
        </w:tc>
        <w:tc>
          <w:tcPr>
            <w:tcW w:w="1871" w:type="dxa"/>
            <w:vAlign w:val="center"/>
          </w:tcPr>
          <w:p w14:paraId="39FE5B5B">
            <w:pPr>
              <w:spacing w:before="0" w:after="0" w:line="269" w:lineRule="auto"/>
              <w:ind w:firstLine="0"/>
              <w:jc w:val="center"/>
            </w:pPr>
            <w:r>
              <w:rPr>
                <w:rFonts w:ascii="微软雅黑" w:hAnsi="微软雅黑" w:eastAsia="微软雅黑"/>
                <w:color w:val="263238"/>
                <w:sz w:val="14"/>
              </w:rPr>
              <w:t>3（15.8%）</w:t>
            </w:r>
          </w:p>
        </w:tc>
      </w:tr>
      <w:tr w14:paraId="774CB74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8C76BFB">
            <w:pPr>
              <w:spacing w:before="0" w:after="0" w:line="269" w:lineRule="auto"/>
              <w:ind w:firstLine="0"/>
              <w:jc w:val="center"/>
            </w:pPr>
            <w:r>
              <w:rPr>
                <w:rFonts w:ascii="微软雅黑" w:hAnsi="微软雅黑" w:eastAsia="微软雅黑"/>
                <w:color w:val="263238"/>
                <w:sz w:val="14"/>
              </w:rPr>
              <w:t>昆明</w:t>
            </w:r>
          </w:p>
        </w:tc>
        <w:tc>
          <w:tcPr>
            <w:tcW w:w="567" w:type="dxa"/>
            <w:vAlign w:val="center"/>
          </w:tcPr>
          <w:p w14:paraId="358633B5">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787A7114">
            <w:pPr>
              <w:spacing w:before="0" w:after="0" w:line="269" w:lineRule="auto"/>
              <w:ind w:firstLine="0"/>
              <w:jc w:val="center"/>
            </w:pPr>
            <w:r>
              <w:rPr>
                <w:rFonts w:ascii="微软雅黑" w:hAnsi="微软雅黑" w:eastAsia="微软雅黑"/>
                <w:color w:val="263238"/>
                <w:sz w:val="14"/>
              </w:rPr>
              <w:t>13（68.4%）</w:t>
            </w:r>
          </w:p>
        </w:tc>
        <w:tc>
          <w:tcPr>
            <w:tcW w:w="1531" w:type="dxa"/>
            <w:vAlign w:val="center"/>
          </w:tcPr>
          <w:p w14:paraId="0C5113AA">
            <w:pPr>
              <w:spacing w:before="0" w:after="0" w:line="269" w:lineRule="auto"/>
              <w:ind w:firstLine="0"/>
              <w:jc w:val="center"/>
            </w:pPr>
            <w:r>
              <w:rPr>
                <w:rFonts w:ascii="微软雅黑" w:hAnsi="微软雅黑" w:eastAsia="微软雅黑"/>
                <w:color w:val="263238"/>
                <w:sz w:val="14"/>
              </w:rPr>
              <w:t>0（0.0%）</w:t>
            </w:r>
          </w:p>
        </w:tc>
        <w:tc>
          <w:tcPr>
            <w:tcW w:w="1757" w:type="dxa"/>
            <w:vAlign w:val="center"/>
          </w:tcPr>
          <w:p w14:paraId="1D6C1CED">
            <w:pPr>
              <w:spacing w:before="0" w:after="0" w:line="269" w:lineRule="auto"/>
              <w:ind w:firstLine="0"/>
              <w:jc w:val="center"/>
            </w:pPr>
            <w:r>
              <w:rPr>
                <w:rFonts w:ascii="微软雅黑" w:hAnsi="微软雅黑" w:eastAsia="微软雅黑"/>
                <w:color w:val="263238"/>
                <w:sz w:val="14"/>
              </w:rPr>
              <w:t>6（31.6%）</w:t>
            </w:r>
          </w:p>
        </w:tc>
        <w:tc>
          <w:tcPr>
            <w:tcW w:w="1871" w:type="dxa"/>
            <w:vAlign w:val="center"/>
          </w:tcPr>
          <w:p w14:paraId="579E8477">
            <w:pPr>
              <w:spacing w:before="0" w:after="0" w:line="269" w:lineRule="auto"/>
              <w:ind w:firstLine="0"/>
              <w:jc w:val="center"/>
            </w:pPr>
            <w:r>
              <w:rPr>
                <w:rFonts w:ascii="微软雅黑" w:hAnsi="微软雅黑" w:eastAsia="微软雅黑"/>
                <w:color w:val="263238"/>
                <w:sz w:val="14"/>
              </w:rPr>
              <w:t>3（15.8%）</w:t>
            </w:r>
          </w:p>
        </w:tc>
      </w:tr>
      <w:tr w14:paraId="5F147D1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520D84B">
            <w:pPr>
              <w:spacing w:before="0" w:after="0" w:line="269" w:lineRule="auto"/>
              <w:ind w:firstLine="0"/>
              <w:jc w:val="center"/>
            </w:pPr>
            <w:r>
              <w:rPr>
                <w:rFonts w:ascii="微软雅黑" w:hAnsi="微软雅黑" w:eastAsia="微软雅黑"/>
                <w:color w:val="263238"/>
                <w:sz w:val="14"/>
              </w:rPr>
              <w:t>哈尔滨</w:t>
            </w:r>
          </w:p>
        </w:tc>
        <w:tc>
          <w:tcPr>
            <w:tcW w:w="567" w:type="dxa"/>
            <w:vAlign w:val="center"/>
          </w:tcPr>
          <w:p w14:paraId="68168E7C">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446511B3">
            <w:pPr>
              <w:spacing w:before="0" w:after="0" w:line="269" w:lineRule="auto"/>
              <w:ind w:firstLine="0"/>
              <w:jc w:val="center"/>
            </w:pPr>
            <w:r>
              <w:rPr>
                <w:rFonts w:ascii="微软雅黑" w:hAnsi="微软雅黑" w:eastAsia="微软雅黑"/>
                <w:color w:val="263238"/>
                <w:sz w:val="14"/>
              </w:rPr>
              <w:t>12（66.7%）</w:t>
            </w:r>
          </w:p>
        </w:tc>
        <w:tc>
          <w:tcPr>
            <w:tcW w:w="1531" w:type="dxa"/>
            <w:vAlign w:val="center"/>
          </w:tcPr>
          <w:p w14:paraId="7464D405">
            <w:pPr>
              <w:spacing w:before="0" w:after="0" w:line="269" w:lineRule="auto"/>
              <w:ind w:firstLine="0"/>
              <w:jc w:val="center"/>
            </w:pPr>
            <w:r>
              <w:rPr>
                <w:rFonts w:ascii="微软雅黑" w:hAnsi="微软雅黑" w:eastAsia="微软雅黑"/>
                <w:color w:val="263238"/>
                <w:sz w:val="14"/>
              </w:rPr>
              <w:t>2（11.1%）</w:t>
            </w:r>
          </w:p>
        </w:tc>
        <w:tc>
          <w:tcPr>
            <w:tcW w:w="1757" w:type="dxa"/>
            <w:vAlign w:val="center"/>
          </w:tcPr>
          <w:p w14:paraId="5B26B568">
            <w:pPr>
              <w:spacing w:before="0" w:after="0" w:line="269" w:lineRule="auto"/>
              <w:ind w:firstLine="0"/>
              <w:jc w:val="center"/>
            </w:pPr>
            <w:r>
              <w:rPr>
                <w:rFonts w:ascii="微软雅黑" w:hAnsi="微软雅黑" w:eastAsia="微软雅黑"/>
                <w:color w:val="263238"/>
                <w:sz w:val="14"/>
              </w:rPr>
              <w:t>6（33.3%）</w:t>
            </w:r>
          </w:p>
        </w:tc>
        <w:tc>
          <w:tcPr>
            <w:tcW w:w="1871" w:type="dxa"/>
            <w:vAlign w:val="center"/>
          </w:tcPr>
          <w:p w14:paraId="770A3EB4">
            <w:pPr>
              <w:spacing w:before="0" w:after="0" w:line="269" w:lineRule="auto"/>
              <w:ind w:firstLine="0"/>
              <w:jc w:val="center"/>
            </w:pPr>
            <w:r>
              <w:rPr>
                <w:rFonts w:ascii="微软雅黑" w:hAnsi="微软雅黑" w:eastAsia="微软雅黑"/>
                <w:color w:val="263238"/>
                <w:sz w:val="14"/>
              </w:rPr>
              <w:t>4（22.2%）</w:t>
            </w:r>
          </w:p>
        </w:tc>
      </w:tr>
      <w:tr w14:paraId="6722C2D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010E04F">
            <w:pPr>
              <w:spacing w:before="0" w:after="0" w:line="269" w:lineRule="auto"/>
              <w:ind w:firstLine="0"/>
              <w:jc w:val="center"/>
            </w:pPr>
            <w:r>
              <w:rPr>
                <w:rFonts w:ascii="微软雅黑" w:hAnsi="微软雅黑" w:eastAsia="微软雅黑"/>
                <w:color w:val="263238"/>
                <w:sz w:val="14"/>
              </w:rPr>
              <w:t>合肥</w:t>
            </w:r>
          </w:p>
        </w:tc>
        <w:tc>
          <w:tcPr>
            <w:tcW w:w="567" w:type="dxa"/>
            <w:vAlign w:val="center"/>
          </w:tcPr>
          <w:p w14:paraId="127A0C9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6F40F6A8">
            <w:pPr>
              <w:spacing w:before="0" w:after="0" w:line="269" w:lineRule="auto"/>
              <w:ind w:firstLine="0"/>
              <w:jc w:val="center"/>
            </w:pPr>
            <w:r>
              <w:rPr>
                <w:rFonts w:ascii="微软雅黑" w:hAnsi="微软雅黑" w:eastAsia="微软雅黑"/>
                <w:color w:val="263238"/>
                <w:sz w:val="14"/>
              </w:rPr>
              <w:t>13（65.0%）</w:t>
            </w:r>
          </w:p>
        </w:tc>
        <w:tc>
          <w:tcPr>
            <w:tcW w:w="1531" w:type="dxa"/>
            <w:vAlign w:val="center"/>
          </w:tcPr>
          <w:p w14:paraId="2A437F06">
            <w:pPr>
              <w:spacing w:before="0" w:after="0" w:line="269" w:lineRule="auto"/>
              <w:ind w:firstLine="0"/>
              <w:jc w:val="center"/>
            </w:pPr>
            <w:r>
              <w:rPr>
                <w:rFonts w:ascii="微软雅黑" w:hAnsi="微软雅黑" w:eastAsia="微软雅黑"/>
                <w:color w:val="263238"/>
                <w:sz w:val="14"/>
              </w:rPr>
              <w:t>2（10.0%）</w:t>
            </w:r>
          </w:p>
        </w:tc>
        <w:tc>
          <w:tcPr>
            <w:tcW w:w="1757" w:type="dxa"/>
            <w:vAlign w:val="center"/>
          </w:tcPr>
          <w:p w14:paraId="7A6CC38C">
            <w:pPr>
              <w:spacing w:before="0" w:after="0" w:line="269" w:lineRule="auto"/>
              <w:ind w:firstLine="0"/>
              <w:jc w:val="center"/>
            </w:pPr>
            <w:r>
              <w:rPr>
                <w:rFonts w:ascii="微软雅黑" w:hAnsi="微软雅黑" w:eastAsia="微软雅黑"/>
                <w:color w:val="263238"/>
                <w:sz w:val="14"/>
              </w:rPr>
              <w:t>5（25.0%）</w:t>
            </w:r>
          </w:p>
        </w:tc>
        <w:tc>
          <w:tcPr>
            <w:tcW w:w="1871" w:type="dxa"/>
            <w:vAlign w:val="center"/>
          </w:tcPr>
          <w:p w14:paraId="3996BECE">
            <w:pPr>
              <w:spacing w:before="0" w:after="0" w:line="269" w:lineRule="auto"/>
              <w:ind w:firstLine="0"/>
              <w:jc w:val="center"/>
            </w:pPr>
            <w:r>
              <w:rPr>
                <w:rFonts w:ascii="微软雅黑" w:hAnsi="微软雅黑" w:eastAsia="微软雅黑"/>
                <w:color w:val="263238"/>
                <w:sz w:val="14"/>
              </w:rPr>
              <w:t>4（20.0%）</w:t>
            </w:r>
          </w:p>
        </w:tc>
      </w:tr>
      <w:tr w14:paraId="6DD5722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B9ABD47">
            <w:pPr>
              <w:spacing w:before="0" w:after="0" w:line="269" w:lineRule="auto"/>
              <w:ind w:firstLine="0"/>
              <w:jc w:val="center"/>
            </w:pPr>
            <w:r>
              <w:rPr>
                <w:rFonts w:ascii="微软雅黑" w:hAnsi="微软雅黑" w:eastAsia="微软雅黑"/>
                <w:color w:val="263238"/>
                <w:sz w:val="14"/>
              </w:rPr>
              <w:t>长沙</w:t>
            </w:r>
          </w:p>
        </w:tc>
        <w:tc>
          <w:tcPr>
            <w:tcW w:w="567" w:type="dxa"/>
            <w:vAlign w:val="center"/>
          </w:tcPr>
          <w:p w14:paraId="3A5C2595">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7C1AA855">
            <w:pPr>
              <w:spacing w:before="0" w:after="0" w:line="269" w:lineRule="auto"/>
              <w:ind w:firstLine="0"/>
              <w:jc w:val="center"/>
            </w:pPr>
            <w:r>
              <w:rPr>
                <w:rFonts w:ascii="微软雅黑" w:hAnsi="微软雅黑" w:eastAsia="微软雅黑"/>
                <w:color w:val="263238"/>
                <w:sz w:val="14"/>
              </w:rPr>
              <w:t>13（65.0%）</w:t>
            </w:r>
          </w:p>
        </w:tc>
        <w:tc>
          <w:tcPr>
            <w:tcW w:w="1531" w:type="dxa"/>
            <w:vAlign w:val="center"/>
          </w:tcPr>
          <w:p w14:paraId="25B8B19A">
            <w:pPr>
              <w:spacing w:before="0" w:after="0" w:line="269" w:lineRule="auto"/>
              <w:ind w:firstLine="0"/>
              <w:jc w:val="center"/>
            </w:pPr>
            <w:r>
              <w:rPr>
                <w:rFonts w:ascii="微软雅黑" w:hAnsi="微软雅黑" w:eastAsia="微软雅黑"/>
                <w:color w:val="263238"/>
                <w:sz w:val="14"/>
              </w:rPr>
              <w:t>3（15.0%）</w:t>
            </w:r>
          </w:p>
        </w:tc>
        <w:tc>
          <w:tcPr>
            <w:tcW w:w="1757" w:type="dxa"/>
            <w:vAlign w:val="center"/>
          </w:tcPr>
          <w:p w14:paraId="39822A00">
            <w:pPr>
              <w:spacing w:before="0" w:after="0" w:line="269" w:lineRule="auto"/>
              <w:ind w:firstLine="0"/>
              <w:jc w:val="center"/>
            </w:pPr>
            <w:r>
              <w:rPr>
                <w:rFonts w:ascii="微软雅黑" w:hAnsi="微软雅黑" w:eastAsia="微软雅黑"/>
                <w:color w:val="263238"/>
                <w:sz w:val="14"/>
              </w:rPr>
              <w:t>4（20.0%）</w:t>
            </w:r>
          </w:p>
        </w:tc>
        <w:tc>
          <w:tcPr>
            <w:tcW w:w="1871" w:type="dxa"/>
            <w:vAlign w:val="center"/>
          </w:tcPr>
          <w:p w14:paraId="51921FA9">
            <w:pPr>
              <w:spacing w:before="0" w:after="0" w:line="269" w:lineRule="auto"/>
              <w:ind w:firstLine="0"/>
              <w:jc w:val="center"/>
            </w:pPr>
            <w:r>
              <w:rPr>
                <w:rFonts w:ascii="微软雅黑" w:hAnsi="微软雅黑" w:eastAsia="微软雅黑"/>
                <w:color w:val="263238"/>
                <w:sz w:val="14"/>
              </w:rPr>
              <w:t>5（25.0%）</w:t>
            </w:r>
          </w:p>
        </w:tc>
      </w:tr>
      <w:tr w14:paraId="13AC7655">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08A3C1C">
            <w:pPr>
              <w:spacing w:before="0" w:after="0" w:line="269" w:lineRule="auto"/>
              <w:ind w:firstLine="0"/>
              <w:jc w:val="center"/>
            </w:pPr>
            <w:r>
              <w:rPr>
                <w:rFonts w:ascii="微软雅黑" w:hAnsi="微软雅黑" w:eastAsia="微软雅黑"/>
                <w:color w:val="263238"/>
                <w:sz w:val="14"/>
              </w:rPr>
              <w:t>宁波</w:t>
            </w:r>
          </w:p>
        </w:tc>
        <w:tc>
          <w:tcPr>
            <w:tcW w:w="567" w:type="dxa"/>
            <w:vAlign w:val="center"/>
          </w:tcPr>
          <w:p w14:paraId="4230B924">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623B720B">
            <w:pPr>
              <w:spacing w:before="0" w:after="0" w:line="269" w:lineRule="auto"/>
              <w:ind w:firstLine="0"/>
              <w:jc w:val="center"/>
            </w:pPr>
            <w:r>
              <w:rPr>
                <w:rFonts w:ascii="微软雅黑" w:hAnsi="微软雅黑" w:eastAsia="微软雅黑"/>
                <w:color w:val="263238"/>
                <w:sz w:val="14"/>
              </w:rPr>
              <w:t>11（64.7%）</w:t>
            </w:r>
          </w:p>
        </w:tc>
        <w:tc>
          <w:tcPr>
            <w:tcW w:w="1531" w:type="dxa"/>
            <w:vAlign w:val="center"/>
          </w:tcPr>
          <w:p w14:paraId="1D92F347">
            <w:pPr>
              <w:spacing w:before="0" w:after="0" w:line="269" w:lineRule="auto"/>
              <w:ind w:firstLine="0"/>
              <w:jc w:val="center"/>
            </w:pPr>
            <w:r>
              <w:rPr>
                <w:rFonts w:ascii="微软雅黑" w:hAnsi="微软雅黑" w:eastAsia="微软雅黑"/>
                <w:color w:val="263238"/>
                <w:sz w:val="14"/>
              </w:rPr>
              <w:t>1（5.9%）</w:t>
            </w:r>
          </w:p>
        </w:tc>
        <w:tc>
          <w:tcPr>
            <w:tcW w:w="1757" w:type="dxa"/>
            <w:vAlign w:val="center"/>
          </w:tcPr>
          <w:p w14:paraId="298BB81F">
            <w:pPr>
              <w:spacing w:before="0" w:after="0" w:line="269" w:lineRule="auto"/>
              <w:ind w:firstLine="0"/>
              <w:jc w:val="center"/>
            </w:pPr>
            <w:r>
              <w:rPr>
                <w:rFonts w:ascii="微软雅黑" w:hAnsi="微软雅黑" w:eastAsia="微软雅黑"/>
                <w:color w:val="263238"/>
                <w:sz w:val="14"/>
              </w:rPr>
              <w:t>5（29.4%）</w:t>
            </w:r>
          </w:p>
        </w:tc>
        <w:tc>
          <w:tcPr>
            <w:tcW w:w="1871" w:type="dxa"/>
            <w:vAlign w:val="center"/>
          </w:tcPr>
          <w:p w14:paraId="7023421E">
            <w:pPr>
              <w:spacing w:before="0" w:after="0" w:line="269" w:lineRule="auto"/>
              <w:ind w:firstLine="0"/>
              <w:jc w:val="center"/>
            </w:pPr>
            <w:r>
              <w:rPr>
                <w:rFonts w:ascii="微软雅黑" w:hAnsi="微软雅黑" w:eastAsia="微软雅黑"/>
                <w:color w:val="263238"/>
                <w:sz w:val="14"/>
              </w:rPr>
              <w:t>4（23.5%）</w:t>
            </w:r>
          </w:p>
        </w:tc>
      </w:tr>
      <w:tr w14:paraId="045AA4B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A44510D">
            <w:pPr>
              <w:spacing w:before="0" w:after="0" w:line="269" w:lineRule="auto"/>
              <w:ind w:firstLine="0"/>
              <w:jc w:val="center"/>
            </w:pPr>
            <w:r>
              <w:rPr>
                <w:rFonts w:ascii="微软雅黑" w:hAnsi="微软雅黑" w:eastAsia="微软雅黑"/>
                <w:color w:val="263238"/>
                <w:sz w:val="14"/>
              </w:rPr>
              <w:t>扬州</w:t>
            </w:r>
          </w:p>
        </w:tc>
        <w:tc>
          <w:tcPr>
            <w:tcW w:w="567" w:type="dxa"/>
            <w:vAlign w:val="center"/>
          </w:tcPr>
          <w:p w14:paraId="09E64614">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621B2563">
            <w:pPr>
              <w:spacing w:before="0" w:after="0" w:line="269" w:lineRule="auto"/>
              <w:ind w:firstLine="0"/>
              <w:jc w:val="center"/>
            </w:pPr>
            <w:r>
              <w:rPr>
                <w:rFonts w:ascii="微软雅黑" w:hAnsi="微软雅黑" w:eastAsia="微软雅黑"/>
                <w:color w:val="263238"/>
                <w:sz w:val="14"/>
              </w:rPr>
              <w:t>11（57.9%）</w:t>
            </w:r>
          </w:p>
        </w:tc>
        <w:tc>
          <w:tcPr>
            <w:tcW w:w="1531" w:type="dxa"/>
            <w:vAlign w:val="center"/>
          </w:tcPr>
          <w:p w14:paraId="467622AD">
            <w:pPr>
              <w:spacing w:before="0" w:after="0" w:line="269" w:lineRule="auto"/>
              <w:ind w:firstLine="0"/>
              <w:jc w:val="center"/>
            </w:pPr>
            <w:r>
              <w:rPr>
                <w:rFonts w:ascii="微软雅黑" w:hAnsi="微软雅黑" w:eastAsia="微软雅黑"/>
                <w:color w:val="263238"/>
                <w:sz w:val="14"/>
              </w:rPr>
              <w:t>1（5.3%）</w:t>
            </w:r>
          </w:p>
        </w:tc>
        <w:tc>
          <w:tcPr>
            <w:tcW w:w="1757" w:type="dxa"/>
            <w:vAlign w:val="center"/>
          </w:tcPr>
          <w:p w14:paraId="3D1D2D46">
            <w:pPr>
              <w:spacing w:before="0" w:after="0" w:line="269" w:lineRule="auto"/>
              <w:ind w:firstLine="0"/>
              <w:jc w:val="center"/>
            </w:pPr>
            <w:r>
              <w:rPr>
                <w:rFonts w:ascii="微软雅黑" w:hAnsi="微软雅黑" w:eastAsia="微软雅黑"/>
                <w:color w:val="263238"/>
                <w:sz w:val="14"/>
              </w:rPr>
              <w:t>3（15.8%）</w:t>
            </w:r>
          </w:p>
        </w:tc>
        <w:tc>
          <w:tcPr>
            <w:tcW w:w="1871" w:type="dxa"/>
            <w:vAlign w:val="center"/>
          </w:tcPr>
          <w:p w14:paraId="235EBBE2">
            <w:pPr>
              <w:spacing w:before="0" w:after="0" w:line="269" w:lineRule="auto"/>
              <w:ind w:firstLine="0"/>
              <w:jc w:val="center"/>
            </w:pPr>
            <w:r>
              <w:rPr>
                <w:rFonts w:ascii="微软雅黑" w:hAnsi="微软雅黑" w:eastAsia="微软雅黑"/>
                <w:color w:val="263238"/>
                <w:sz w:val="14"/>
              </w:rPr>
              <w:t>6（31.6%）</w:t>
            </w:r>
          </w:p>
        </w:tc>
      </w:tr>
      <w:tr w14:paraId="748DFA7B">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46D011B">
            <w:pPr>
              <w:spacing w:before="0" w:after="0" w:line="269" w:lineRule="auto"/>
              <w:ind w:firstLine="0"/>
              <w:jc w:val="center"/>
            </w:pPr>
            <w:r>
              <w:rPr>
                <w:rFonts w:ascii="微软雅黑" w:hAnsi="微软雅黑" w:eastAsia="微软雅黑"/>
                <w:color w:val="263238"/>
                <w:sz w:val="14"/>
              </w:rPr>
              <w:t>三亚</w:t>
            </w:r>
          </w:p>
        </w:tc>
        <w:tc>
          <w:tcPr>
            <w:tcW w:w="567" w:type="dxa"/>
            <w:vAlign w:val="center"/>
          </w:tcPr>
          <w:p w14:paraId="04D02461">
            <w:pPr>
              <w:spacing w:before="0" w:after="0" w:line="269" w:lineRule="auto"/>
              <w:ind w:firstLine="0"/>
              <w:jc w:val="center"/>
            </w:pPr>
            <w:r>
              <w:rPr>
                <w:rFonts w:ascii="微软雅黑" w:hAnsi="微软雅黑" w:eastAsia="微软雅黑"/>
                <w:color w:val="263238"/>
                <w:sz w:val="14"/>
              </w:rPr>
              <w:t>16</w:t>
            </w:r>
          </w:p>
        </w:tc>
        <w:tc>
          <w:tcPr>
            <w:tcW w:w="1531" w:type="dxa"/>
            <w:vAlign w:val="center"/>
          </w:tcPr>
          <w:p w14:paraId="40106039">
            <w:pPr>
              <w:spacing w:before="0" w:after="0" w:line="269" w:lineRule="auto"/>
              <w:ind w:firstLine="0"/>
              <w:jc w:val="center"/>
            </w:pPr>
            <w:r>
              <w:rPr>
                <w:rFonts w:ascii="微软雅黑" w:hAnsi="微软雅黑" w:eastAsia="微软雅黑"/>
                <w:color w:val="263238"/>
                <w:sz w:val="14"/>
              </w:rPr>
              <w:t>9（56.3%）</w:t>
            </w:r>
          </w:p>
        </w:tc>
        <w:tc>
          <w:tcPr>
            <w:tcW w:w="1531" w:type="dxa"/>
            <w:vAlign w:val="center"/>
          </w:tcPr>
          <w:p w14:paraId="4F485362">
            <w:pPr>
              <w:spacing w:before="0" w:after="0" w:line="269" w:lineRule="auto"/>
              <w:ind w:firstLine="0"/>
              <w:jc w:val="center"/>
            </w:pPr>
            <w:r>
              <w:rPr>
                <w:rFonts w:ascii="微软雅黑" w:hAnsi="微软雅黑" w:eastAsia="微软雅黑"/>
                <w:color w:val="263238"/>
                <w:sz w:val="14"/>
              </w:rPr>
              <w:t>2（12.5%）</w:t>
            </w:r>
          </w:p>
        </w:tc>
        <w:tc>
          <w:tcPr>
            <w:tcW w:w="1757" w:type="dxa"/>
            <w:vAlign w:val="center"/>
          </w:tcPr>
          <w:p w14:paraId="24B3A6ED">
            <w:pPr>
              <w:spacing w:before="0" w:after="0" w:line="269" w:lineRule="auto"/>
              <w:ind w:firstLine="0"/>
              <w:jc w:val="center"/>
            </w:pPr>
            <w:r>
              <w:rPr>
                <w:rFonts w:ascii="微软雅黑" w:hAnsi="微软雅黑" w:eastAsia="微软雅黑"/>
                <w:color w:val="263238"/>
                <w:sz w:val="14"/>
              </w:rPr>
              <w:t>4（25.0%）</w:t>
            </w:r>
          </w:p>
        </w:tc>
        <w:tc>
          <w:tcPr>
            <w:tcW w:w="1871" w:type="dxa"/>
            <w:vAlign w:val="center"/>
          </w:tcPr>
          <w:p w14:paraId="1B17A126">
            <w:pPr>
              <w:spacing w:before="0" w:after="0" w:line="269" w:lineRule="auto"/>
              <w:ind w:firstLine="0"/>
              <w:jc w:val="center"/>
            </w:pPr>
            <w:r>
              <w:rPr>
                <w:rFonts w:ascii="微软雅黑" w:hAnsi="微软雅黑" w:eastAsia="微软雅黑"/>
                <w:color w:val="263238"/>
                <w:sz w:val="14"/>
              </w:rPr>
              <w:t>3（18.8%）</w:t>
            </w:r>
          </w:p>
        </w:tc>
      </w:tr>
      <w:tr w14:paraId="5DBD4D8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05CF2C0F">
            <w:pPr>
              <w:spacing w:before="0" w:after="0" w:line="269" w:lineRule="auto"/>
              <w:ind w:firstLine="0"/>
              <w:jc w:val="center"/>
            </w:pPr>
            <w:r>
              <w:rPr>
                <w:rFonts w:ascii="微软雅黑" w:hAnsi="微软雅黑" w:eastAsia="微软雅黑"/>
                <w:color w:val="263238"/>
                <w:sz w:val="14"/>
              </w:rPr>
              <w:t>苏州</w:t>
            </w:r>
          </w:p>
        </w:tc>
        <w:tc>
          <w:tcPr>
            <w:tcW w:w="567" w:type="dxa"/>
            <w:vAlign w:val="center"/>
          </w:tcPr>
          <w:p w14:paraId="77D9FA29">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05EF860">
            <w:pPr>
              <w:spacing w:before="0" w:after="0" w:line="269" w:lineRule="auto"/>
              <w:ind w:firstLine="0"/>
              <w:jc w:val="center"/>
            </w:pPr>
            <w:r>
              <w:rPr>
                <w:rFonts w:ascii="微软雅黑" w:hAnsi="微软雅黑" w:eastAsia="微软雅黑"/>
                <w:color w:val="263238"/>
                <w:sz w:val="14"/>
              </w:rPr>
              <w:t>11（55.0%）</w:t>
            </w:r>
          </w:p>
        </w:tc>
        <w:tc>
          <w:tcPr>
            <w:tcW w:w="1531" w:type="dxa"/>
            <w:vAlign w:val="center"/>
          </w:tcPr>
          <w:p w14:paraId="566B298E">
            <w:pPr>
              <w:spacing w:before="0" w:after="0" w:line="269" w:lineRule="auto"/>
              <w:ind w:firstLine="0"/>
              <w:jc w:val="center"/>
            </w:pPr>
            <w:r>
              <w:rPr>
                <w:rFonts w:ascii="微软雅黑" w:hAnsi="微软雅黑" w:eastAsia="微软雅黑"/>
                <w:color w:val="263238"/>
                <w:sz w:val="14"/>
              </w:rPr>
              <w:t>1（5.0%）</w:t>
            </w:r>
          </w:p>
        </w:tc>
        <w:tc>
          <w:tcPr>
            <w:tcW w:w="1757" w:type="dxa"/>
            <w:vAlign w:val="center"/>
          </w:tcPr>
          <w:p w14:paraId="68260CA5">
            <w:pPr>
              <w:spacing w:before="0" w:after="0" w:line="269" w:lineRule="auto"/>
              <w:ind w:firstLine="0"/>
              <w:jc w:val="center"/>
            </w:pPr>
            <w:r>
              <w:rPr>
                <w:rFonts w:ascii="微软雅黑" w:hAnsi="微软雅黑" w:eastAsia="微软雅黑"/>
                <w:color w:val="263238"/>
                <w:sz w:val="14"/>
              </w:rPr>
              <w:t>9（45.0%）</w:t>
            </w:r>
          </w:p>
        </w:tc>
        <w:tc>
          <w:tcPr>
            <w:tcW w:w="1871" w:type="dxa"/>
            <w:vAlign w:val="center"/>
          </w:tcPr>
          <w:p w14:paraId="16BFF8ED">
            <w:pPr>
              <w:spacing w:before="0" w:after="0" w:line="269" w:lineRule="auto"/>
              <w:ind w:firstLine="0"/>
              <w:jc w:val="center"/>
            </w:pPr>
            <w:r>
              <w:rPr>
                <w:rFonts w:ascii="微软雅黑" w:hAnsi="微软雅黑" w:eastAsia="微软雅黑"/>
                <w:color w:val="263238"/>
                <w:sz w:val="14"/>
              </w:rPr>
              <w:t>3（15.0%）</w:t>
            </w:r>
          </w:p>
        </w:tc>
      </w:tr>
    </w:tbl>
    <w:p w14:paraId="4254EF91">
      <w:pPr>
        <w:pStyle w:val="174"/>
      </w:pPr>
      <w:r>
        <w:t>附表1（续）</w:t>
      </w:r>
    </w:p>
    <w:tbl>
      <w:tblPr>
        <w:tblStyle w:val="39"/>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134"/>
        <w:gridCol w:w="567"/>
        <w:gridCol w:w="1531"/>
        <w:gridCol w:w="1531"/>
        <w:gridCol w:w="1757"/>
        <w:gridCol w:w="1871"/>
      </w:tblGrid>
      <w:tr w14:paraId="02925B1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134" w:type="dxa"/>
            <w:shd w:val="clear" w:color="auto" w:fill="DDE6F0"/>
            <w:vAlign w:val="center"/>
          </w:tcPr>
          <w:p w14:paraId="4F77633E">
            <w:pPr>
              <w:keepNext/>
              <w:spacing w:before="0" w:after="0" w:line="269" w:lineRule="auto"/>
              <w:ind w:firstLine="0"/>
              <w:jc w:val="center"/>
            </w:pPr>
            <w:r>
              <w:rPr>
                <w:rFonts w:ascii="微软雅黑" w:hAnsi="微软雅黑" w:eastAsia="微软雅黑"/>
                <w:b/>
                <w:color w:val="263238"/>
                <w:sz w:val="14"/>
              </w:rPr>
              <w:t>城市</w:t>
            </w:r>
          </w:p>
        </w:tc>
        <w:tc>
          <w:tcPr>
            <w:tcW w:w="567" w:type="dxa"/>
            <w:shd w:val="clear" w:color="auto" w:fill="DDE6F0"/>
            <w:vAlign w:val="center"/>
          </w:tcPr>
          <w:p w14:paraId="32272BFF">
            <w:pPr>
              <w:keepNext/>
              <w:spacing w:before="0" w:after="0" w:line="269" w:lineRule="auto"/>
              <w:ind w:firstLine="0"/>
              <w:jc w:val="center"/>
            </w:pPr>
            <w:r>
              <w:rPr>
                <w:rFonts w:ascii="微软雅黑" w:hAnsi="微软雅黑" w:eastAsia="微软雅黑"/>
                <w:b/>
                <w:color w:val="263238"/>
                <w:sz w:val="14"/>
              </w:rPr>
              <w:t>n</w:t>
            </w:r>
          </w:p>
        </w:tc>
        <w:tc>
          <w:tcPr>
            <w:tcW w:w="1531" w:type="dxa"/>
            <w:shd w:val="clear" w:color="auto" w:fill="DDE6F0"/>
            <w:vAlign w:val="center"/>
          </w:tcPr>
          <w:p w14:paraId="23CFB3C0">
            <w:pPr>
              <w:keepNext/>
              <w:spacing w:before="0" w:after="0" w:line="269" w:lineRule="auto"/>
              <w:ind w:firstLine="0"/>
              <w:jc w:val="center"/>
            </w:pPr>
            <w:r>
              <w:rPr>
                <w:rFonts w:ascii="微软雅黑" w:hAnsi="微软雅黑" w:eastAsia="微软雅黑"/>
                <w:b/>
                <w:color w:val="263238"/>
                <w:sz w:val="14"/>
              </w:rPr>
              <w:t>直接同意</w:t>
            </w:r>
          </w:p>
        </w:tc>
        <w:tc>
          <w:tcPr>
            <w:tcW w:w="1531" w:type="dxa"/>
            <w:shd w:val="clear" w:color="auto" w:fill="DDE6F0"/>
            <w:vAlign w:val="center"/>
          </w:tcPr>
          <w:p w14:paraId="722F859E">
            <w:pPr>
              <w:keepNext/>
              <w:spacing w:before="0" w:after="0" w:line="269" w:lineRule="auto"/>
              <w:ind w:firstLine="0"/>
              <w:jc w:val="center"/>
            </w:pPr>
            <w:r>
              <w:rPr>
                <w:rFonts w:ascii="微软雅黑" w:hAnsi="微软雅黑" w:eastAsia="微软雅黑"/>
                <w:b/>
                <w:color w:val="263238"/>
                <w:sz w:val="14"/>
              </w:rPr>
              <w:t>最终拒绝</w:t>
            </w:r>
          </w:p>
        </w:tc>
        <w:tc>
          <w:tcPr>
            <w:tcW w:w="1757" w:type="dxa"/>
            <w:shd w:val="clear" w:color="auto" w:fill="DDE6F0"/>
            <w:vAlign w:val="center"/>
          </w:tcPr>
          <w:p w14:paraId="2425F96F">
            <w:pPr>
              <w:keepNext/>
              <w:spacing w:before="0" w:after="0" w:line="269" w:lineRule="auto"/>
              <w:ind w:firstLine="0"/>
              <w:jc w:val="center"/>
            </w:pPr>
            <w:r>
              <w:rPr>
                <w:rFonts w:ascii="微软雅黑" w:hAnsi="微软雅黑" w:eastAsia="微软雅黑"/>
                <w:b/>
                <w:color w:val="263238"/>
                <w:sz w:val="14"/>
              </w:rPr>
              <w:t>2次及以上</w:t>
            </w:r>
          </w:p>
        </w:tc>
        <w:tc>
          <w:tcPr>
            <w:tcW w:w="1871" w:type="dxa"/>
            <w:shd w:val="clear" w:color="auto" w:fill="DDE6F0"/>
            <w:vAlign w:val="center"/>
          </w:tcPr>
          <w:p w14:paraId="5FDED4B0">
            <w:pPr>
              <w:keepNext/>
              <w:spacing w:before="0" w:after="0" w:line="269" w:lineRule="auto"/>
              <w:ind w:firstLine="0"/>
              <w:jc w:val="center"/>
            </w:pPr>
            <w:r>
              <w:rPr>
                <w:rFonts w:ascii="微软雅黑" w:hAnsi="微软雅黑" w:eastAsia="微软雅黑"/>
                <w:b/>
                <w:color w:val="263238"/>
                <w:sz w:val="14"/>
              </w:rPr>
              <w:t>附带条件接纳</w:t>
            </w:r>
          </w:p>
        </w:tc>
      </w:tr>
      <w:tr w14:paraId="799C54C7">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43BCBA66">
            <w:pPr>
              <w:spacing w:before="0" w:after="0" w:line="269" w:lineRule="auto"/>
              <w:ind w:firstLine="0"/>
              <w:jc w:val="center"/>
            </w:pPr>
            <w:r>
              <w:rPr>
                <w:rFonts w:ascii="微软雅黑" w:hAnsi="微软雅黑" w:eastAsia="微软雅黑"/>
                <w:color w:val="263238"/>
                <w:sz w:val="14"/>
              </w:rPr>
              <w:t>武汉</w:t>
            </w:r>
          </w:p>
        </w:tc>
        <w:tc>
          <w:tcPr>
            <w:tcW w:w="567" w:type="dxa"/>
            <w:vAlign w:val="center"/>
          </w:tcPr>
          <w:p w14:paraId="3A47B45F">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6BDF7EC5">
            <w:pPr>
              <w:spacing w:before="0" w:after="0" w:line="269" w:lineRule="auto"/>
              <w:ind w:firstLine="0"/>
              <w:jc w:val="center"/>
            </w:pPr>
            <w:r>
              <w:rPr>
                <w:rFonts w:ascii="微软雅黑" w:hAnsi="微软雅黑" w:eastAsia="微软雅黑"/>
                <w:color w:val="263238"/>
                <w:sz w:val="14"/>
              </w:rPr>
              <w:t>9（52.9%）</w:t>
            </w:r>
          </w:p>
        </w:tc>
        <w:tc>
          <w:tcPr>
            <w:tcW w:w="1531" w:type="dxa"/>
            <w:vAlign w:val="center"/>
          </w:tcPr>
          <w:p w14:paraId="780F38BC">
            <w:pPr>
              <w:spacing w:before="0" w:after="0" w:line="269" w:lineRule="auto"/>
              <w:ind w:firstLine="0"/>
              <w:jc w:val="center"/>
            </w:pPr>
            <w:r>
              <w:rPr>
                <w:rFonts w:ascii="微软雅黑" w:hAnsi="微软雅黑" w:eastAsia="微软雅黑"/>
                <w:color w:val="263238"/>
                <w:sz w:val="14"/>
              </w:rPr>
              <w:t>2（11.8%）</w:t>
            </w:r>
          </w:p>
        </w:tc>
        <w:tc>
          <w:tcPr>
            <w:tcW w:w="1757" w:type="dxa"/>
            <w:vAlign w:val="center"/>
          </w:tcPr>
          <w:p w14:paraId="7B007729">
            <w:pPr>
              <w:spacing w:before="0" w:after="0" w:line="269" w:lineRule="auto"/>
              <w:ind w:firstLine="0"/>
              <w:jc w:val="center"/>
            </w:pPr>
            <w:r>
              <w:rPr>
                <w:rFonts w:ascii="微软雅黑" w:hAnsi="微软雅黑" w:eastAsia="微软雅黑"/>
                <w:color w:val="263238"/>
                <w:sz w:val="14"/>
              </w:rPr>
              <w:t>7（41.2%）</w:t>
            </w:r>
          </w:p>
        </w:tc>
        <w:tc>
          <w:tcPr>
            <w:tcW w:w="1871" w:type="dxa"/>
            <w:vAlign w:val="center"/>
          </w:tcPr>
          <w:p w14:paraId="5BE84B44">
            <w:pPr>
              <w:spacing w:before="0" w:after="0" w:line="269" w:lineRule="auto"/>
              <w:ind w:firstLine="0"/>
              <w:jc w:val="center"/>
            </w:pPr>
            <w:r>
              <w:rPr>
                <w:rFonts w:ascii="微软雅黑" w:hAnsi="微软雅黑" w:eastAsia="微软雅黑"/>
                <w:color w:val="263238"/>
                <w:sz w:val="14"/>
              </w:rPr>
              <w:t>2（11.8%）</w:t>
            </w:r>
          </w:p>
        </w:tc>
      </w:tr>
      <w:tr w14:paraId="18C444A5">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6D57C4">
            <w:pPr>
              <w:spacing w:before="0" w:after="0" w:line="269" w:lineRule="auto"/>
              <w:ind w:firstLine="0"/>
              <w:jc w:val="center"/>
            </w:pPr>
            <w:r>
              <w:rPr>
                <w:rFonts w:ascii="微软雅黑" w:hAnsi="微软雅黑" w:eastAsia="微软雅黑"/>
                <w:color w:val="263238"/>
                <w:sz w:val="14"/>
              </w:rPr>
              <w:t>长春</w:t>
            </w:r>
          </w:p>
        </w:tc>
        <w:tc>
          <w:tcPr>
            <w:tcW w:w="567" w:type="dxa"/>
            <w:vAlign w:val="center"/>
          </w:tcPr>
          <w:p w14:paraId="66CCF59C">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5FF741CE">
            <w:pPr>
              <w:spacing w:before="0" w:after="0" w:line="269" w:lineRule="auto"/>
              <w:ind w:firstLine="0"/>
              <w:jc w:val="center"/>
            </w:pPr>
            <w:r>
              <w:rPr>
                <w:rFonts w:ascii="微软雅黑" w:hAnsi="微软雅黑" w:eastAsia="微软雅黑"/>
                <w:color w:val="263238"/>
                <w:sz w:val="14"/>
              </w:rPr>
              <w:t>10（52.6%）</w:t>
            </w:r>
          </w:p>
        </w:tc>
        <w:tc>
          <w:tcPr>
            <w:tcW w:w="1531" w:type="dxa"/>
            <w:vAlign w:val="center"/>
          </w:tcPr>
          <w:p w14:paraId="2BA45766">
            <w:pPr>
              <w:spacing w:before="0" w:after="0" w:line="269" w:lineRule="auto"/>
              <w:ind w:firstLine="0"/>
              <w:jc w:val="center"/>
            </w:pPr>
            <w:r>
              <w:rPr>
                <w:rFonts w:ascii="微软雅黑" w:hAnsi="微软雅黑" w:eastAsia="微软雅黑"/>
                <w:color w:val="263238"/>
                <w:sz w:val="14"/>
              </w:rPr>
              <w:t>1（5.3%）</w:t>
            </w:r>
          </w:p>
        </w:tc>
        <w:tc>
          <w:tcPr>
            <w:tcW w:w="1757" w:type="dxa"/>
            <w:vAlign w:val="center"/>
          </w:tcPr>
          <w:p w14:paraId="5AB9BC8B">
            <w:pPr>
              <w:spacing w:before="0" w:after="0" w:line="269" w:lineRule="auto"/>
              <w:ind w:firstLine="0"/>
              <w:jc w:val="center"/>
            </w:pPr>
            <w:r>
              <w:rPr>
                <w:rFonts w:ascii="微软雅黑" w:hAnsi="微软雅黑" w:eastAsia="微软雅黑"/>
                <w:color w:val="263238"/>
                <w:sz w:val="14"/>
              </w:rPr>
              <w:t>4（21.1%）</w:t>
            </w:r>
          </w:p>
        </w:tc>
        <w:tc>
          <w:tcPr>
            <w:tcW w:w="1871" w:type="dxa"/>
            <w:vAlign w:val="center"/>
          </w:tcPr>
          <w:p w14:paraId="22830E31">
            <w:pPr>
              <w:spacing w:before="0" w:after="0" w:line="269" w:lineRule="auto"/>
              <w:ind w:firstLine="0"/>
              <w:jc w:val="center"/>
            </w:pPr>
            <w:r>
              <w:rPr>
                <w:rFonts w:ascii="微软雅黑" w:hAnsi="微软雅黑" w:eastAsia="微软雅黑"/>
                <w:color w:val="263238"/>
                <w:sz w:val="14"/>
              </w:rPr>
              <w:t>3（15.8%）</w:t>
            </w:r>
          </w:p>
        </w:tc>
      </w:tr>
      <w:tr w14:paraId="4FB864C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C8A356C">
            <w:pPr>
              <w:spacing w:before="0" w:after="0" w:line="269" w:lineRule="auto"/>
              <w:ind w:firstLine="0"/>
              <w:jc w:val="center"/>
            </w:pPr>
            <w:r>
              <w:rPr>
                <w:rFonts w:ascii="微软雅黑" w:hAnsi="微软雅黑" w:eastAsia="微软雅黑"/>
                <w:color w:val="263238"/>
                <w:sz w:val="14"/>
              </w:rPr>
              <w:t>广州</w:t>
            </w:r>
          </w:p>
        </w:tc>
        <w:tc>
          <w:tcPr>
            <w:tcW w:w="567" w:type="dxa"/>
            <w:vAlign w:val="center"/>
          </w:tcPr>
          <w:p w14:paraId="1D305504">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623A39B1">
            <w:pPr>
              <w:spacing w:before="0" w:after="0" w:line="269" w:lineRule="auto"/>
              <w:ind w:firstLine="0"/>
              <w:jc w:val="center"/>
            </w:pPr>
            <w:r>
              <w:rPr>
                <w:rFonts w:ascii="微软雅黑" w:hAnsi="微软雅黑" w:eastAsia="微软雅黑"/>
                <w:color w:val="263238"/>
                <w:sz w:val="14"/>
              </w:rPr>
              <w:t>10（50.0%）</w:t>
            </w:r>
          </w:p>
        </w:tc>
        <w:tc>
          <w:tcPr>
            <w:tcW w:w="1531" w:type="dxa"/>
            <w:vAlign w:val="center"/>
          </w:tcPr>
          <w:p w14:paraId="6EC420D3">
            <w:pPr>
              <w:spacing w:before="0" w:after="0" w:line="269" w:lineRule="auto"/>
              <w:ind w:firstLine="0"/>
              <w:jc w:val="center"/>
            </w:pPr>
            <w:r>
              <w:rPr>
                <w:rFonts w:ascii="微软雅黑" w:hAnsi="微软雅黑" w:eastAsia="微软雅黑"/>
                <w:color w:val="263238"/>
                <w:sz w:val="14"/>
              </w:rPr>
              <w:t>5（25.0%）</w:t>
            </w:r>
          </w:p>
        </w:tc>
        <w:tc>
          <w:tcPr>
            <w:tcW w:w="1757" w:type="dxa"/>
            <w:vAlign w:val="center"/>
          </w:tcPr>
          <w:p w14:paraId="752C4392">
            <w:pPr>
              <w:spacing w:before="0" w:after="0" w:line="269" w:lineRule="auto"/>
              <w:ind w:firstLine="0"/>
              <w:jc w:val="center"/>
            </w:pPr>
            <w:r>
              <w:rPr>
                <w:rFonts w:ascii="微软雅黑" w:hAnsi="微软雅黑" w:eastAsia="微软雅黑"/>
                <w:color w:val="263238"/>
                <w:sz w:val="14"/>
              </w:rPr>
              <w:t>5（25.0%）</w:t>
            </w:r>
          </w:p>
        </w:tc>
        <w:tc>
          <w:tcPr>
            <w:tcW w:w="1871" w:type="dxa"/>
            <w:vAlign w:val="center"/>
          </w:tcPr>
          <w:p w14:paraId="3E29413C">
            <w:pPr>
              <w:spacing w:before="0" w:after="0" w:line="269" w:lineRule="auto"/>
              <w:ind w:firstLine="0"/>
              <w:jc w:val="center"/>
            </w:pPr>
            <w:r>
              <w:rPr>
                <w:rFonts w:ascii="微软雅黑" w:hAnsi="微软雅黑" w:eastAsia="微软雅黑"/>
                <w:color w:val="263238"/>
                <w:sz w:val="14"/>
              </w:rPr>
              <w:t>2（10.0%）</w:t>
            </w:r>
          </w:p>
        </w:tc>
      </w:tr>
      <w:tr w14:paraId="1D81FFA7">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6FFDFE4D">
            <w:pPr>
              <w:spacing w:before="0" w:after="0" w:line="269" w:lineRule="auto"/>
              <w:ind w:firstLine="0"/>
              <w:jc w:val="center"/>
            </w:pPr>
            <w:r>
              <w:rPr>
                <w:rFonts w:ascii="微软雅黑" w:hAnsi="微软雅黑" w:eastAsia="微软雅黑"/>
                <w:color w:val="263238"/>
                <w:sz w:val="14"/>
              </w:rPr>
              <w:t>嘉兴</w:t>
            </w:r>
          </w:p>
        </w:tc>
        <w:tc>
          <w:tcPr>
            <w:tcW w:w="567" w:type="dxa"/>
            <w:vAlign w:val="center"/>
          </w:tcPr>
          <w:p w14:paraId="7E11C708">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0B0D6FE0">
            <w:pPr>
              <w:spacing w:before="0" w:after="0" w:line="269" w:lineRule="auto"/>
              <w:ind w:firstLine="0"/>
              <w:jc w:val="center"/>
            </w:pPr>
            <w:r>
              <w:rPr>
                <w:rFonts w:ascii="微软雅黑" w:hAnsi="微软雅黑" w:eastAsia="微软雅黑"/>
                <w:color w:val="263238"/>
                <w:sz w:val="14"/>
              </w:rPr>
              <w:t>9（47.4%）</w:t>
            </w:r>
          </w:p>
        </w:tc>
        <w:tc>
          <w:tcPr>
            <w:tcW w:w="1531" w:type="dxa"/>
            <w:vAlign w:val="center"/>
          </w:tcPr>
          <w:p w14:paraId="1D89A27E">
            <w:pPr>
              <w:spacing w:before="0" w:after="0" w:line="269" w:lineRule="auto"/>
              <w:ind w:firstLine="0"/>
              <w:jc w:val="center"/>
            </w:pPr>
            <w:r>
              <w:rPr>
                <w:rFonts w:ascii="微软雅黑" w:hAnsi="微软雅黑" w:eastAsia="微软雅黑"/>
                <w:color w:val="263238"/>
                <w:sz w:val="14"/>
              </w:rPr>
              <w:t>2（10.5%）</w:t>
            </w:r>
          </w:p>
        </w:tc>
        <w:tc>
          <w:tcPr>
            <w:tcW w:w="1757" w:type="dxa"/>
            <w:vAlign w:val="center"/>
          </w:tcPr>
          <w:p w14:paraId="442B8581">
            <w:pPr>
              <w:spacing w:before="0" w:after="0" w:line="269" w:lineRule="auto"/>
              <w:ind w:firstLine="0"/>
              <w:jc w:val="center"/>
            </w:pPr>
            <w:r>
              <w:rPr>
                <w:rFonts w:ascii="微软雅黑" w:hAnsi="微软雅黑" w:eastAsia="微软雅黑"/>
                <w:color w:val="263238"/>
                <w:sz w:val="14"/>
              </w:rPr>
              <w:t>8（42.1%）</w:t>
            </w:r>
          </w:p>
        </w:tc>
        <w:tc>
          <w:tcPr>
            <w:tcW w:w="1871" w:type="dxa"/>
            <w:vAlign w:val="center"/>
          </w:tcPr>
          <w:p w14:paraId="54AD7583">
            <w:pPr>
              <w:spacing w:before="0" w:after="0" w:line="269" w:lineRule="auto"/>
              <w:ind w:firstLine="0"/>
              <w:jc w:val="center"/>
            </w:pPr>
            <w:r>
              <w:rPr>
                <w:rFonts w:ascii="微软雅黑" w:hAnsi="微软雅黑" w:eastAsia="微软雅黑"/>
                <w:color w:val="263238"/>
                <w:sz w:val="14"/>
              </w:rPr>
              <w:t>2（10.5%）</w:t>
            </w:r>
          </w:p>
        </w:tc>
      </w:tr>
      <w:tr w14:paraId="566E305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F397413">
            <w:pPr>
              <w:spacing w:before="0" w:after="0" w:line="269" w:lineRule="auto"/>
              <w:ind w:firstLine="0"/>
              <w:jc w:val="center"/>
            </w:pPr>
            <w:r>
              <w:rPr>
                <w:rFonts w:ascii="微软雅黑" w:hAnsi="微软雅黑" w:eastAsia="微软雅黑"/>
                <w:color w:val="263238"/>
                <w:sz w:val="14"/>
              </w:rPr>
              <w:t>大连</w:t>
            </w:r>
          </w:p>
        </w:tc>
        <w:tc>
          <w:tcPr>
            <w:tcW w:w="567" w:type="dxa"/>
            <w:vAlign w:val="center"/>
          </w:tcPr>
          <w:p w14:paraId="7A26BE89">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3B689278">
            <w:pPr>
              <w:spacing w:before="0" w:after="0" w:line="269" w:lineRule="auto"/>
              <w:ind w:firstLine="0"/>
              <w:jc w:val="center"/>
            </w:pPr>
            <w:r>
              <w:rPr>
                <w:rFonts w:ascii="微软雅黑" w:hAnsi="微软雅黑" w:eastAsia="微软雅黑"/>
                <w:color w:val="263238"/>
                <w:sz w:val="14"/>
              </w:rPr>
              <w:t>8（44.4%）</w:t>
            </w:r>
          </w:p>
        </w:tc>
        <w:tc>
          <w:tcPr>
            <w:tcW w:w="1531" w:type="dxa"/>
            <w:vAlign w:val="center"/>
          </w:tcPr>
          <w:p w14:paraId="35C7D372">
            <w:pPr>
              <w:spacing w:before="0" w:after="0" w:line="269" w:lineRule="auto"/>
              <w:ind w:firstLine="0"/>
              <w:jc w:val="center"/>
            </w:pPr>
            <w:r>
              <w:rPr>
                <w:rFonts w:ascii="微软雅黑" w:hAnsi="微软雅黑" w:eastAsia="微软雅黑"/>
                <w:color w:val="263238"/>
                <w:sz w:val="14"/>
              </w:rPr>
              <w:t>0（0.0%）</w:t>
            </w:r>
          </w:p>
        </w:tc>
        <w:tc>
          <w:tcPr>
            <w:tcW w:w="1757" w:type="dxa"/>
            <w:vAlign w:val="center"/>
          </w:tcPr>
          <w:p w14:paraId="4E078BB0">
            <w:pPr>
              <w:spacing w:before="0" w:after="0" w:line="269" w:lineRule="auto"/>
              <w:ind w:firstLine="0"/>
              <w:jc w:val="center"/>
            </w:pPr>
            <w:r>
              <w:rPr>
                <w:rFonts w:ascii="微软雅黑" w:hAnsi="微软雅黑" w:eastAsia="微软雅黑"/>
                <w:color w:val="263238"/>
                <w:sz w:val="14"/>
              </w:rPr>
              <w:t>7（38.9%）</w:t>
            </w:r>
          </w:p>
        </w:tc>
        <w:tc>
          <w:tcPr>
            <w:tcW w:w="1871" w:type="dxa"/>
            <w:vAlign w:val="center"/>
          </w:tcPr>
          <w:p w14:paraId="1286BF86">
            <w:pPr>
              <w:spacing w:before="0" w:after="0" w:line="269" w:lineRule="auto"/>
              <w:ind w:firstLine="0"/>
              <w:jc w:val="center"/>
            </w:pPr>
            <w:r>
              <w:rPr>
                <w:rFonts w:ascii="微软雅黑" w:hAnsi="微软雅黑" w:eastAsia="微软雅黑"/>
                <w:color w:val="263238"/>
                <w:sz w:val="14"/>
              </w:rPr>
              <w:t>7（38.9%）</w:t>
            </w:r>
          </w:p>
        </w:tc>
      </w:tr>
      <w:tr w14:paraId="2784AB6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C40C647">
            <w:pPr>
              <w:spacing w:before="0" w:after="0" w:line="269" w:lineRule="auto"/>
              <w:ind w:firstLine="0"/>
              <w:jc w:val="center"/>
            </w:pPr>
            <w:r>
              <w:rPr>
                <w:rFonts w:ascii="微软雅黑" w:hAnsi="微软雅黑" w:eastAsia="微软雅黑"/>
                <w:color w:val="263238"/>
                <w:sz w:val="14"/>
              </w:rPr>
              <w:t>西安</w:t>
            </w:r>
          </w:p>
        </w:tc>
        <w:tc>
          <w:tcPr>
            <w:tcW w:w="567" w:type="dxa"/>
            <w:vAlign w:val="center"/>
          </w:tcPr>
          <w:p w14:paraId="3C0381BD">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6D94F15F">
            <w:pPr>
              <w:spacing w:before="0" w:after="0" w:line="269" w:lineRule="auto"/>
              <w:ind w:firstLine="0"/>
              <w:jc w:val="center"/>
            </w:pPr>
            <w:r>
              <w:rPr>
                <w:rFonts w:ascii="微软雅黑" w:hAnsi="微软雅黑" w:eastAsia="微软雅黑"/>
                <w:color w:val="263238"/>
                <w:sz w:val="14"/>
              </w:rPr>
              <w:t>8（42.1%）</w:t>
            </w:r>
          </w:p>
        </w:tc>
        <w:tc>
          <w:tcPr>
            <w:tcW w:w="1531" w:type="dxa"/>
            <w:vAlign w:val="center"/>
          </w:tcPr>
          <w:p w14:paraId="05FCAED2">
            <w:pPr>
              <w:spacing w:before="0" w:after="0" w:line="269" w:lineRule="auto"/>
              <w:ind w:firstLine="0"/>
              <w:jc w:val="center"/>
            </w:pPr>
            <w:r>
              <w:rPr>
                <w:rFonts w:ascii="微软雅黑" w:hAnsi="微软雅黑" w:eastAsia="微软雅黑"/>
                <w:color w:val="263238"/>
                <w:sz w:val="14"/>
              </w:rPr>
              <w:t>2（10.5%）</w:t>
            </w:r>
          </w:p>
        </w:tc>
        <w:tc>
          <w:tcPr>
            <w:tcW w:w="1757" w:type="dxa"/>
            <w:vAlign w:val="center"/>
          </w:tcPr>
          <w:p w14:paraId="49CB5194">
            <w:pPr>
              <w:spacing w:before="0" w:after="0" w:line="269" w:lineRule="auto"/>
              <w:ind w:firstLine="0"/>
              <w:jc w:val="center"/>
            </w:pPr>
            <w:r>
              <w:rPr>
                <w:rFonts w:ascii="微软雅黑" w:hAnsi="微软雅黑" w:eastAsia="微软雅黑"/>
                <w:color w:val="263238"/>
                <w:sz w:val="14"/>
              </w:rPr>
              <w:t>9（47.4%）</w:t>
            </w:r>
          </w:p>
        </w:tc>
        <w:tc>
          <w:tcPr>
            <w:tcW w:w="1871" w:type="dxa"/>
            <w:vAlign w:val="center"/>
          </w:tcPr>
          <w:p w14:paraId="180589D0">
            <w:pPr>
              <w:spacing w:before="0" w:after="0" w:line="269" w:lineRule="auto"/>
              <w:ind w:firstLine="0"/>
              <w:jc w:val="center"/>
            </w:pPr>
            <w:r>
              <w:rPr>
                <w:rFonts w:ascii="微软雅黑" w:hAnsi="微软雅黑" w:eastAsia="微软雅黑"/>
                <w:color w:val="263238"/>
                <w:sz w:val="14"/>
              </w:rPr>
              <w:t>2（10.5%）</w:t>
            </w:r>
          </w:p>
        </w:tc>
      </w:tr>
      <w:tr w14:paraId="6170EAB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7AF98A2">
            <w:pPr>
              <w:spacing w:before="0" w:after="0" w:line="269" w:lineRule="auto"/>
              <w:ind w:firstLine="0"/>
              <w:jc w:val="center"/>
            </w:pPr>
            <w:r>
              <w:rPr>
                <w:rFonts w:ascii="微软雅黑" w:hAnsi="微软雅黑" w:eastAsia="微软雅黑"/>
                <w:color w:val="263238"/>
                <w:sz w:val="14"/>
              </w:rPr>
              <w:t>青岛</w:t>
            </w:r>
          </w:p>
        </w:tc>
        <w:tc>
          <w:tcPr>
            <w:tcW w:w="567" w:type="dxa"/>
            <w:vAlign w:val="center"/>
          </w:tcPr>
          <w:p w14:paraId="167F4403">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2B60F3AB">
            <w:pPr>
              <w:spacing w:before="0" w:after="0" w:line="269" w:lineRule="auto"/>
              <w:ind w:firstLine="0"/>
              <w:jc w:val="center"/>
            </w:pPr>
            <w:r>
              <w:rPr>
                <w:rFonts w:ascii="微软雅黑" w:hAnsi="微软雅黑" w:eastAsia="微软雅黑"/>
                <w:color w:val="263238"/>
                <w:sz w:val="14"/>
              </w:rPr>
              <w:t>8（40.0%）</w:t>
            </w:r>
          </w:p>
        </w:tc>
        <w:tc>
          <w:tcPr>
            <w:tcW w:w="1531" w:type="dxa"/>
            <w:vAlign w:val="center"/>
          </w:tcPr>
          <w:p w14:paraId="4170B306">
            <w:pPr>
              <w:spacing w:before="0" w:after="0" w:line="269" w:lineRule="auto"/>
              <w:ind w:firstLine="0"/>
              <w:jc w:val="center"/>
            </w:pPr>
            <w:r>
              <w:rPr>
                <w:rFonts w:ascii="微软雅黑" w:hAnsi="微软雅黑" w:eastAsia="微软雅黑"/>
                <w:color w:val="263238"/>
                <w:sz w:val="14"/>
              </w:rPr>
              <w:t>9（45.0%）</w:t>
            </w:r>
          </w:p>
        </w:tc>
        <w:tc>
          <w:tcPr>
            <w:tcW w:w="1757" w:type="dxa"/>
            <w:vAlign w:val="center"/>
          </w:tcPr>
          <w:p w14:paraId="1B90C719">
            <w:pPr>
              <w:spacing w:before="0" w:after="0" w:line="269" w:lineRule="auto"/>
              <w:ind w:firstLine="0"/>
              <w:jc w:val="center"/>
            </w:pPr>
            <w:r>
              <w:rPr>
                <w:rFonts w:ascii="微软雅黑" w:hAnsi="微软雅黑" w:eastAsia="微软雅黑"/>
                <w:color w:val="263238"/>
                <w:sz w:val="14"/>
              </w:rPr>
              <w:t>8（40.0%）</w:t>
            </w:r>
          </w:p>
        </w:tc>
        <w:tc>
          <w:tcPr>
            <w:tcW w:w="1871" w:type="dxa"/>
            <w:vAlign w:val="center"/>
          </w:tcPr>
          <w:p w14:paraId="1C32BC5D">
            <w:pPr>
              <w:spacing w:before="0" w:after="0" w:line="269" w:lineRule="auto"/>
              <w:ind w:firstLine="0"/>
              <w:jc w:val="center"/>
            </w:pPr>
            <w:r>
              <w:rPr>
                <w:rFonts w:ascii="微软雅黑" w:hAnsi="微软雅黑" w:eastAsia="微软雅黑"/>
                <w:color w:val="263238"/>
                <w:sz w:val="14"/>
              </w:rPr>
              <w:t>1（5.0%）</w:t>
            </w:r>
          </w:p>
        </w:tc>
      </w:tr>
      <w:tr w14:paraId="2BCD4698">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43E856E7">
            <w:pPr>
              <w:spacing w:before="0" w:after="0" w:line="269" w:lineRule="auto"/>
              <w:ind w:firstLine="0"/>
              <w:jc w:val="center"/>
            </w:pPr>
            <w:r>
              <w:rPr>
                <w:rFonts w:ascii="微软雅黑" w:hAnsi="微软雅黑" w:eastAsia="微软雅黑"/>
                <w:color w:val="263238"/>
                <w:sz w:val="14"/>
              </w:rPr>
              <w:t>上海</w:t>
            </w:r>
          </w:p>
        </w:tc>
        <w:tc>
          <w:tcPr>
            <w:tcW w:w="567" w:type="dxa"/>
            <w:vAlign w:val="center"/>
          </w:tcPr>
          <w:p w14:paraId="435AA426">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758238B">
            <w:pPr>
              <w:spacing w:before="0" w:after="0" w:line="269" w:lineRule="auto"/>
              <w:ind w:firstLine="0"/>
              <w:jc w:val="center"/>
            </w:pPr>
            <w:r>
              <w:rPr>
                <w:rFonts w:ascii="微软雅黑" w:hAnsi="微软雅黑" w:eastAsia="微软雅黑"/>
                <w:color w:val="263238"/>
                <w:sz w:val="14"/>
              </w:rPr>
              <w:t>7（35.0%）</w:t>
            </w:r>
          </w:p>
        </w:tc>
        <w:tc>
          <w:tcPr>
            <w:tcW w:w="1531" w:type="dxa"/>
            <w:vAlign w:val="center"/>
          </w:tcPr>
          <w:p w14:paraId="5B5847E3">
            <w:pPr>
              <w:spacing w:before="0" w:after="0" w:line="269" w:lineRule="auto"/>
              <w:ind w:firstLine="0"/>
              <w:jc w:val="center"/>
            </w:pPr>
            <w:r>
              <w:rPr>
                <w:rFonts w:ascii="微软雅黑" w:hAnsi="微软雅黑" w:eastAsia="微软雅黑"/>
                <w:color w:val="263238"/>
                <w:sz w:val="14"/>
              </w:rPr>
              <w:t>8（40.0%）</w:t>
            </w:r>
          </w:p>
        </w:tc>
        <w:tc>
          <w:tcPr>
            <w:tcW w:w="1757" w:type="dxa"/>
            <w:vAlign w:val="center"/>
          </w:tcPr>
          <w:p w14:paraId="64CAB8BD">
            <w:pPr>
              <w:spacing w:before="0" w:after="0" w:line="269" w:lineRule="auto"/>
              <w:ind w:firstLine="0"/>
              <w:jc w:val="center"/>
            </w:pPr>
            <w:r>
              <w:rPr>
                <w:rFonts w:ascii="微软雅黑" w:hAnsi="微软雅黑" w:eastAsia="微软雅黑"/>
                <w:color w:val="263238"/>
                <w:sz w:val="14"/>
              </w:rPr>
              <w:t>9（45.0%）</w:t>
            </w:r>
          </w:p>
        </w:tc>
        <w:tc>
          <w:tcPr>
            <w:tcW w:w="1871" w:type="dxa"/>
            <w:vAlign w:val="center"/>
          </w:tcPr>
          <w:p w14:paraId="501E0C5E">
            <w:pPr>
              <w:spacing w:before="0" w:after="0" w:line="269" w:lineRule="auto"/>
              <w:ind w:firstLine="0"/>
              <w:jc w:val="center"/>
            </w:pPr>
            <w:r>
              <w:rPr>
                <w:rFonts w:ascii="微软雅黑" w:hAnsi="微软雅黑" w:eastAsia="微软雅黑"/>
                <w:color w:val="263238"/>
                <w:sz w:val="14"/>
              </w:rPr>
              <w:t>1（5.0%）</w:t>
            </w:r>
          </w:p>
        </w:tc>
      </w:tr>
      <w:tr w14:paraId="39F2B111">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1A03E4">
            <w:pPr>
              <w:spacing w:before="0" w:after="0" w:line="269" w:lineRule="auto"/>
              <w:ind w:firstLine="0"/>
              <w:jc w:val="center"/>
            </w:pPr>
            <w:r>
              <w:rPr>
                <w:rFonts w:ascii="微软雅黑" w:hAnsi="微软雅黑" w:eastAsia="微软雅黑"/>
                <w:color w:val="263238"/>
                <w:sz w:val="14"/>
              </w:rPr>
              <w:t>贵阳</w:t>
            </w:r>
          </w:p>
        </w:tc>
        <w:tc>
          <w:tcPr>
            <w:tcW w:w="567" w:type="dxa"/>
            <w:vAlign w:val="center"/>
          </w:tcPr>
          <w:p w14:paraId="6A143763">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249DD105">
            <w:pPr>
              <w:spacing w:before="0" w:after="0" w:line="269" w:lineRule="auto"/>
              <w:ind w:firstLine="0"/>
              <w:jc w:val="center"/>
            </w:pPr>
            <w:r>
              <w:rPr>
                <w:rFonts w:ascii="微软雅黑" w:hAnsi="微软雅黑" w:eastAsia="微软雅黑"/>
                <w:color w:val="263238"/>
                <w:sz w:val="14"/>
              </w:rPr>
              <w:t>6（30.0%）</w:t>
            </w:r>
          </w:p>
        </w:tc>
        <w:tc>
          <w:tcPr>
            <w:tcW w:w="1531" w:type="dxa"/>
            <w:vAlign w:val="center"/>
          </w:tcPr>
          <w:p w14:paraId="5568708D">
            <w:pPr>
              <w:spacing w:before="0" w:after="0" w:line="269" w:lineRule="auto"/>
              <w:ind w:firstLine="0"/>
              <w:jc w:val="center"/>
            </w:pPr>
            <w:r>
              <w:rPr>
                <w:rFonts w:ascii="微软雅黑" w:hAnsi="微软雅黑" w:eastAsia="微软雅黑"/>
                <w:color w:val="263238"/>
                <w:sz w:val="14"/>
              </w:rPr>
              <w:t>0（0.0%）</w:t>
            </w:r>
          </w:p>
        </w:tc>
        <w:tc>
          <w:tcPr>
            <w:tcW w:w="1757" w:type="dxa"/>
            <w:vAlign w:val="center"/>
          </w:tcPr>
          <w:p w14:paraId="22B2B2DB">
            <w:pPr>
              <w:spacing w:before="0" w:after="0" w:line="269" w:lineRule="auto"/>
              <w:ind w:firstLine="0"/>
              <w:jc w:val="center"/>
            </w:pPr>
            <w:r>
              <w:rPr>
                <w:rFonts w:ascii="微软雅黑" w:hAnsi="微软雅黑" w:eastAsia="微软雅黑"/>
                <w:color w:val="263238"/>
                <w:sz w:val="14"/>
              </w:rPr>
              <w:t>12（60.0%）</w:t>
            </w:r>
          </w:p>
        </w:tc>
        <w:tc>
          <w:tcPr>
            <w:tcW w:w="1871" w:type="dxa"/>
            <w:vAlign w:val="center"/>
          </w:tcPr>
          <w:p w14:paraId="3C844909">
            <w:pPr>
              <w:spacing w:before="0" w:after="0" w:line="269" w:lineRule="auto"/>
              <w:ind w:firstLine="0"/>
              <w:jc w:val="center"/>
            </w:pPr>
            <w:r>
              <w:rPr>
                <w:rFonts w:ascii="微软雅黑" w:hAnsi="微软雅黑" w:eastAsia="微软雅黑"/>
                <w:color w:val="263238"/>
                <w:sz w:val="14"/>
              </w:rPr>
              <w:t>8（40.0%）</w:t>
            </w:r>
          </w:p>
        </w:tc>
      </w:tr>
      <w:tr w14:paraId="70C7776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E7FA800">
            <w:pPr>
              <w:spacing w:before="0" w:after="0" w:line="269" w:lineRule="auto"/>
              <w:ind w:firstLine="0"/>
              <w:jc w:val="center"/>
            </w:pPr>
            <w:r>
              <w:rPr>
                <w:rFonts w:ascii="微软雅黑" w:hAnsi="微软雅黑" w:eastAsia="微软雅黑"/>
                <w:color w:val="263238"/>
                <w:sz w:val="14"/>
              </w:rPr>
              <w:t>郑州</w:t>
            </w:r>
          </w:p>
        </w:tc>
        <w:tc>
          <w:tcPr>
            <w:tcW w:w="567" w:type="dxa"/>
            <w:vAlign w:val="center"/>
          </w:tcPr>
          <w:p w14:paraId="725CE52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70CF4116">
            <w:pPr>
              <w:spacing w:before="0" w:after="0" w:line="269" w:lineRule="auto"/>
              <w:ind w:firstLine="0"/>
              <w:jc w:val="center"/>
            </w:pPr>
            <w:r>
              <w:rPr>
                <w:rFonts w:ascii="微软雅黑" w:hAnsi="微软雅黑" w:eastAsia="微软雅黑"/>
                <w:color w:val="263238"/>
                <w:sz w:val="14"/>
              </w:rPr>
              <w:t>6（30.0%）</w:t>
            </w:r>
          </w:p>
        </w:tc>
        <w:tc>
          <w:tcPr>
            <w:tcW w:w="1531" w:type="dxa"/>
            <w:vAlign w:val="center"/>
          </w:tcPr>
          <w:p w14:paraId="5A00CD05">
            <w:pPr>
              <w:spacing w:before="0" w:after="0" w:line="269" w:lineRule="auto"/>
              <w:ind w:firstLine="0"/>
              <w:jc w:val="center"/>
            </w:pPr>
            <w:r>
              <w:rPr>
                <w:rFonts w:ascii="微软雅黑" w:hAnsi="微软雅黑" w:eastAsia="微软雅黑"/>
                <w:color w:val="263238"/>
                <w:sz w:val="14"/>
              </w:rPr>
              <w:t>8（40.0%）</w:t>
            </w:r>
          </w:p>
        </w:tc>
        <w:tc>
          <w:tcPr>
            <w:tcW w:w="1757" w:type="dxa"/>
            <w:vAlign w:val="center"/>
          </w:tcPr>
          <w:p w14:paraId="6BC62589">
            <w:pPr>
              <w:spacing w:before="0" w:after="0" w:line="269" w:lineRule="auto"/>
              <w:ind w:firstLine="0"/>
              <w:jc w:val="center"/>
            </w:pPr>
            <w:r>
              <w:rPr>
                <w:rFonts w:ascii="微软雅黑" w:hAnsi="微软雅黑" w:eastAsia="微软雅黑"/>
                <w:color w:val="263238"/>
                <w:sz w:val="14"/>
              </w:rPr>
              <w:t>7（35.0%）</w:t>
            </w:r>
          </w:p>
        </w:tc>
        <w:tc>
          <w:tcPr>
            <w:tcW w:w="1871" w:type="dxa"/>
            <w:vAlign w:val="center"/>
          </w:tcPr>
          <w:p w14:paraId="2B9AE81D">
            <w:pPr>
              <w:spacing w:before="0" w:after="0" w:line="269" w:lineRule="auto"/>
              <w:ind w:firstLine="0"/>
              <w:jc w:val="center"/>
            </w:pPr>
            <w:r>
              <w:rPr>
                <w:rFonts w:ascii="微软雅黑" w:hAnsi="微软雅黑" w:eastAsia="微软雅黑"/>
                <w:color w:val="263238"/>
                <w:sz w:val="14"/>
              </w:rPr>
              <w:t>3（15.0%）</w:t>
            </w:r>
          </w:p>
        </w:tc>
      </w:tr>
      <w:tr w14:paraId="0F6A582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F3B8BB9">
            <w:pPr>
              <w:spacing w:before="0" w:after="0" w:line="269" w:lineRule="auto"/>
              <w:ind w:firstLine="0"/>
              <w:jc w:val="center"/>
            </w:pPr>
            <w:r>
              <w:rPr>
                <w:rFonts w:ascii="微软雅黑" w:hAnsi="微软雅黑" w:eastAsia="微软雅黑"/>
                <w:color w:val="263238"/>
                <w:sz w:val="14"/>
              </w:rPr>
              <w:t>天津</w:t>
            </w:r>
          </w:p>
        </w:tc>
        <w:tc>
          <w:tcPr>
            <w:tcW w:w="567" w:type="dxa"/>
            <w:vAlign w:val="center"/>
          </w:tcPr>
          <w:p w14:paraId="1A6BF6C6">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3AE6D71B">
            <w:pPr>
              <w:spacing w:before="0" w:after="0" w:line="269" w:lineRule="auto"/>
              <w:ind w:firstLine="0"/>
              <w:jc w:val="center"/>
            </w:pPr>
            <w:r>
              <w:rPr>
                <w:rFonts w:ascii="微软雅黑" w:hAnsi="微软雅黑" w:eastAsia="微软雅黑"/>
                <w:color w:val="263238"/>
                <w:sz w:val="14"/>
              </w:rPr>
              <w:t>5（27.8%）</w:t>
            </w:r>
          </w:p>
        </w:tc>
        <w:tc>
          <w:tcPr>
            <w:tcW w:w="1531" w:type="dxa"/>
            <w:vAlign w:val="center"/>
          </w:tcPr>
          <w:p w14:paraId="44D70418">
            <w:pPr>
              <w:spacing w:before="0" w:after="0" w:line="269" w:lineRule="auto"/>
              <w:ind w:firstLine="0"/>
              <w:jc w:val="center"/>
            </w:pPr>
            <w:r>
              <w:rPr>
                <w:rFonts w:ascii="微软雅黑" w:hAnsi="微软雅黑" w:eastAsia="微软雅黑"/>
                <w:color w:val="263238"/>
                <w:sz w:val="14"/>
              </w:rPr>
              <w:t>6（33.3%）</w:t>
            </w:r>
          </w:p>
        </w:tc>
        <w:tc>
          <w:tcPr>
            <w:tcW w:w="1757" w:type="dxa"/>
            <w:vAlign w:val="center"/>
          </w:tcPr>
          <w:p w14:paraId="07C4EC08">
            <w:pPr>
              <w:spacing w:before="0" w:after="0" w:line="269" w:lineRule="auto"/>
              <w:ind w:firstLine="0"/>
              <w:jc w:val="center"/>
            </w:pPr>
            <w:r>
              <w:rPr>
                <w:rFonts w:ascii="微软雅黑" w:hAnsi="微软雅黑" w:eastAsia="微软雅黑"/>
                <w:color w:val="263238"/>
                <w:sz w:val="14"/>
              </w:rPr>
              <w:t>10（55.6%）</w:t>
            </w:r>
          </w:p>
        </w:tc>
        <w:tc>
          <w:tcPr>
            <w:tcW w:w="1871" w:type="dxa"/>
            <w:vAlign w:val="center"/>
          </w:tcPr>
          <w:p w14:paraId="289FA42F">
            <w:pPr>
              <w:spacing w:before="0" w:after="0" w:line="269" w:lineRule="auto"/>
              <w:ind w:firstLine="0"/>
              <w:jc w:val="center"/>
            </w:pPr>
            <w:r>
              <w:rPr>
                <w:rFonts w:ascii="微软雅黑" w:hAnsi="微软雅黑" w:eastAsia="微软雅黑"/>
                <w:color w:val="263238"/>
                <w:sz w:val="14"/>
              </w:rPr>
              <w:t>0（0.0%）</w:t>
            </w:r>
          </w:p>
        </w:tc>
      </w:tr>
      <w:tr w14:paraId="463A1F3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C55331">
            <w:pPr>
              <w:spacing w:before="0" w:after="0" w:line="269" w:lineRule="auto"/>
              <w:ind w:firstLine="0"/>
              <w:jc w:val="center"/>
            </w:pPr>
            <w:r>
              <w:rPr>
                <w:rFonts w:ascii="微软雅黑" w:hAnsi="微软雅黑" w:eastAsia="微软雅黑"/>
                <w:color w:val="263238"/>
                <w:sz w:val="14"/>
              </w:rPr>
              <w:t>杭州</w:t>
            </w:r>
          </w:p>
        </w:tc>
        <w:tc>
          <w:tcPr>
            <w:tcW w:w="567" w:type="dxa"/>
            <w:vAlign w:val="center"/>
          </w:tcPr>
          <w:p w14:paraId="16157C6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51517F90">
            <w:pPr>
              <w:spacing w:before="0" w:after="0" w:line="269" w:lineRule="auto"/>
              <w:ind w:firstLine="0"/>
              <w:jc w:val="center"/>
            </w:pPr>
            <w:r>
              <w:rPr>
                <w:rFonts w:ascii="微软雅黑" w:hAnsi="微软雅黑" w:eastAsia="微软雅黑"/>
                <w:color w:val="263238"/>
                <w:sz w:val="14"/>
              </w:rPr>
              <w:t>5（25.0%）</w:t>
            </w:r>
          </w:p>
        </w:tc>
        <w:tc>
          <w:tcPr>
            <w:tcW w:w="1531" w:type="dxa"/>
            <w:vAlign w:val="center"/>
          </w:tcPr>
          <w:p w14:paraId="3E97877C">
            <w:pPr>
              <w:spacing w:before="0" w:after="0" w:line="269" w:lineRule="auto"/>
              <w:ind w:firstLine="0"/>
              <w:jc w:val="center"/>
            </w:pPr>
            <w:r>
              <w:rPr>
                <w:rFonts w:ascii="微软雅黑" w:hAnsi="微软雅黑" w:eastAsia="微软雅黑"/>
                <w:color w:val="263238"/>
                <w:sz w:val="14"/>
              </w:rPr>
              <w:t>8（40.0%）</w:t>
            </w:r>
          </w:p>
        </w:tc>
        <w:tc>
          <w:tcPr>
            <w:tcW w:w="1757" w:type="dxa"/>
            <w:vAlign w:val="center"/>
          </w:tcPr>
          <w:p w14:paraId="56358786">
            <w:pPr>
              <w:spacing w:before="0" w:after="0" w:line="269" w:lineRule="auto"/>
              <w:ind w:firstLine="0"/>
              <w:jc w:val="center"/>
            </w:pPr>
            <w:r>
              <w:rPr>
                <w:rFonts w:ascii="微软雅黑" w:hAnsi="微软雅黑" w:eastAsia="微软雅黑"/>
                <w:color w:val="263238"/>
                <w:sz w:val="14"/>
              </w:rPr>
              <w:t>9（45.0%）</w:t>
            </w:r>
          </w:p>
        </w:tc>
        <w:tc>
          <w:tcPr>
            <w:tcW w:w="1871" w:type="dxa"/>
            <w:vAlign w:val="center"/>
          </w:tcPr>
          <w:p w14:paraId="5E9CF399">
            <w:pPr>
              <w:spacing w:before="0" w:after="0" w:line="269" w:lineRule="auto"/>
              <w:ind w:firstLine="0"/>
              <w:jc w:val="center"/>
            </w:pPr>
            <w:r>
              <w:rPr>
                <w:rFonts w:ascii="微软雅黑" w:hAnsi="微软雅黑" w:eastAsia="微软雅黑"/>
                <w:color w:val="263238"/>
                <w:sz w:val="14"/>
              </w:rPr>
              <w:t>1（5.0%）</w:t>
            </w:r>
          </w:p>
        </w:tc>
      </w:tr>
      <w:tr w14:paraId="36DDFF0B">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ECBF9F0">
            <w:pPr>
              <w:spacing w:before="0" w:after="0" w:line="269" w:lineRule="auto"/>
              <w:ind w:firstLine="0"/>
              <w:jc w:val="center"/>
            </w:pPr>
            <w:r>
              <w:rPr>
                <w:rFonts w:ascii="微软雅黑" w:hAnsi="微软雅黑" w:eastAsia="微软雅黑"/>
                <w:color w:val="263238"/>
                <w:sz w:val="14"/>
              </w:rPr>
              <w:t>秦皇岛</w:t>
            </w:r>
          </w:p>
        </w:tc>
        <w:tc>
          <w:tcPr>
            <w:tcW w:w="567" w:type="dxa"/>
            <w:vAlign w:val="center"/>
          </w:tcPr>
          <w:p w14:paraId="3240432E">
            <w:pPr>
              <w:spacing w:before="0" w:after="0" w:line="269" w:lineRule="auto"/>
              <w:ind w:firstLine="0"/>
              <w:jc w:val="center"/>
            </w:pPr>
            <w:r>
              <w:rPr>
                <w:rFonts w:ascii="微软雅黑" w:hAnsi="微软雅黑" w:eastAsia="微软雅黑"/>
                <w:color w:val="263238"/>
                <w:sz w:val="14"/>
              </w:rPr>
              <w:t>16</w:t>
            </w:r>
          </w:p>
        </w:tc>
        <w:tc>
          <w:tcPr>
            <w:tcW w:w="1531" w:type="dxa"/>
            <w:vAlign w:val="center"/>
          </w:tcPr>
          <w:p w14:paraId="665E1121">
            <w:pPr>
              <w:spacing w:before="0" w:after="0" w:line="269" w:lineRule="auto"/>
              <w:ind w:firstLine="0"/>
              <w:jc w:val="center"/>
            </w:pPr>
            <w:r>
              <w:rPr>
                <w:rFonts w:ascii="微软雅黑" w:hAnsi="微软雅黑" w:eastAsia="微软雅黑"/>
                <w:color w:val="263238"/>
                <w:sz w:val="14"/>
              </w:rPr>
              <w:t>4（25.0%）</w:t>
            </w:r>
          </w:p>
        </w:tc>
        <w:tc>
          <w:tcPr>
            <w:tcW w:w="1531" w:type="dxa"/>
            <w:vAlign w:val="center"/>
          </w:tcPr>
          <w:p w14:paraId="41C3FB86">
            <w:pPr>
              <w:spacing w:before="0" w:after="0" w:line="269" w:lineRule="auto"/>
              <w:ind w:firstLine="0"/>
              <w:jc w:val="center"/>
            </w:pPr>
            <w:r>
              <w:rPr>
                <w:rFonts w:ascii="微软雅黑" w:hAnsi="微软雅黑" w:eastAsia="微软雅黑"/>
                <w:color w:val="263238"/>
                <w:sz w:val="14"/>
              </w:rPr>
              <w:t>8（50.0%）</w:t>
            </w:r>
          </w:p>
        </w:tc>
        <w:tc>
          <w:tcPr>
            <w:tcW w:w="1757" w:type="dxa"/>
            <w:vAlign w:val="center"/>
          </w:tcPr>
          <w:p w14:paraId="16952A09">
            <w:pPr>
              <w:spacing w:before="0" w:after="0" w:line="269" w:lineRule="auto"/>
              <w:ind w:firstLine="0"/>
              <w:jc w:val="center"/>
            </w:pPr>
            <w:r>
              <w:rPr>
                <w:rFonts w:ascii="微软雅黑" w:hAnsi="微软雅黑" w:eastAsia="微软雅黑"/>
                <w:color w:val="263238"/>
                <w:sz w:val="14"/>
              </w:rPr>
              <w:t>4（25.0%）</w:t>
            </w:r>
          </w:p>
        </w:tc>
        <w:tc>
          <w:tcPr>
            <w:tcW w:w="1871" w:type="dxa"/>
            <w:vAlign w:val="center"/>
          </w:tcPr>
          <w:p w14:paraId="737A5363">
            <w:pPr>
              <w:spacing w:before="0" w:after="0" w:line="269" w:lineRule="auto"/>
              <w:ind w:firstLine="0"/>
              <w:jc w:val="center"/>
            </w:pPr>
            <w:r>
              <w:rPr>
                <w:rFonts w:ascii="微软雅黑" w:hAnsi="微软雅黑" w:eastAsia="微软雅黑"/>
                <w:color w:val="263238"/>
                <w:sz w:val="14"/>
              </w:rPr>
              <w:t>0（0.0%）</w:t>
            </w:r>
          </w:p>
        </w:tc>
      </w:tr>
      <w:tr w14:paraId="358FC8C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8E090E">
            <w:pPr>
              <w:spacing w:before="0" w:after="0" w:line="269" w:lineRule="auto"/>
              <w:ind w:firstLine="0"/>
              <w:jc w:val="center"/>
            </w:pPr>
            <w:r>
              <w:rPr>
                <w:rFonts w:ascii="微软雅黑" w:hAnsi="微软雅黑" w:eastAsia="微软雅黑"/>
                <w:color w:val="263238"/>
                <w:sz w:val="14"/>
              </w:rPr>
              <w:t>厦门</w:t>
            </w:r>
          </w:p>
        </w:tc>
        <w:tc>
          <w:tcPr>
            <w:tcW w:w="567" w:type="dxa"/>
            <w:vAlign w:val="center"/>
          </w:tcPr>
          <w:p w14:paraId="4CFE69E7">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57319AA8">
            <w:pPr>
              <w:spacing w:before="0" w:after="0" w:line="269" w:lineRule="auto"/>
              <w:ind w:firstLine="0"/>
              <w:jc w:val="center"/>
            </w:pPr>
            <w:r>
              <w:rPr>
                <w:rFonts w:ascii="微软雅黑" w:hAnsi="微软雅黑" w:eastAsia="微软雅黑"/>
                <w:color w:val="263238"/>
                <w:sz w:val="14"/>
              </w:rPr>
              <w:t>4（23.5%）</w:t>
            </w:r>
          </w:p>
        </w:tc>
        <w:tc>
          <w:tcPr>
            <w:tcW w:w="1531" w:type="dxa"/>
            <w:vAlign w:val="center"/>
          </w:tcPr>
          <w:p w14:paraId="250713C6">
            <w:pPr>
              <w:spacing w:before="0" w:after="0" w:line="269" w:lineRule="auto"/>
              <w:ind w:firstLine="0"/>
              <w:jc w:val="center"/>
            </w:pPr>
            <w:r>
              <w:rPr>
                <w:rFonts w:ascii="微软雅黑" w:hAnsi="微软雅黑" w:eastAsia="微软雅黑"/>
                <w:color w:val="263238"/>
                <w:sz w:val="14"/>
              </w:rPr>
              <w:t>2（11.8%）</w:t>
            </w:r>
          </w:p>
        </w:tc>
        <w:tc>
          <w:tcPr>
            <w:tcW w:w="1757" w:type="dxa"/>
            <w:vAlign w:val="center"/>
          </w:tcPr>
          <w:p w14:paraId="1B8E4642">
            <w:pPr>
              <w:spacing w:before="0" w:after="0" w:line="269" w:lineRule="auto"/>
              <w:ind w:firstLine="0"/>
              <w:jc w:val="center"/>
            </w:pPr>
            <w:r>
              <w:rPr>
                <w:rFonts w:ascii="微软雅黑" w:hAnsi="微软雅黑" w:eastAsia="微软雅黑"/>
                <w:color w:val="263238"/>
                <w:sz w:val="14"/>
              </w:rPr>
              <w:t>8（47.1%）</w:t>
            </w:r>
          </w:p>
        </w:tc>
        <w:tc>
          <w:tcPr>
            <w:tcW w:w="1871" w:type="dxa"/>
            <w:vAlign w:val="center"/>
          </w:tcPr>
          <w:p w14:paraId="3C2A15B6">
            <w:pPr>
              <w:spacing w:before="0" w:after="0" w:line="269" w:lineRule="auto"/>
              <w:ind w:firstLine="0"/>
              <w:jc w:val="center"/>
            </w:pPr>
            <w:r>
              <w:rPr>
                <w:rFonts w:ascii="微软雅黑" w:hAnsi="微软雅黑" w:eastAsia="微软雅黑"/>
                <w:color w:val="263238"/>
                <w:sz w:val="14"/>
              </w:rPr>
              <w:t>4（23.5%）</w:t>
            </w:r>
          </w:p>
        </w:tc>
      </w:tr>
      <w:tr w14:paraId="512A9C3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68153B39">
            <w:pPr>
              <w:spacing w:before="0" w:after="0" w:line="269" w:lineRule="auto"/>
              <w:ind w:firstLine="0"/>
              <w:jc w:val="center"/>
            </w:pPr>
            <w:r>
              <w:rPr>
                <w:rFonts w:ascii="微软雅黑" w:hAnsi="微软雅黑" w:eastAsia="微软雅黑"/>
                <w:color w:val="263238"/>
                <w:sz w:val="14"/>
              </w:rPr>
              <w:t>北京</w:t>
            </w:r>
          </w:p>
        </w:tc>
        <w:tc>
          <w:tcPr>
            <w:tcW w:w="567" w:type="dxa"/>
            <w:vAlign w:val="center"/>
          </w:tcPr>
          <w:p w14:paraId="118DF2DF">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0DAAFD7A">
            <w:pPr>
              <w:spacing w:before="0" w:after="0" w:line="269" w:lineRule="auto"/>
              <w:ind w:firstLine="0"/>
              <w:jc w:val="center"/>
            </w:pPr>
            <w:r>
              <w:rPr>
                <w:rFonts w:ascii="微软雅黑" w:hAnsi="微软雅黑" w:eastAsia="微软雅黑"/>
                <w:color w:val="263238"/>
                <w:sz w:val="14"/>
              </w:rPr>
              <w:t>2（10.5%）</w:t>
            </w:r>
          </w:p>
        </w:tc>
        <w:tc>
          <w:tcPr>
            <w:tcW w:w="1531" w:type="dxa"/>
            <w:vAlign w:val="center"/>
          </w:tcPr>
          <w:p w14:paraId="73CAE817">
            <w:pPr>
              <w:spacing w:before="0" w:after="0" w:line="269" w:lineRule="auto"/>
              <w:ind w:firstLine="0"/>
              <w:jc w:val="center"/>
            </w:pPr>
            <w:r>
              <w:rPr>
                <w:rFonts w:ascii="微软雅黑" w:hAnsi="微软雅黑" w:eastAsia="微软雅黑"/>
                <w:color w:val="263238"/>
                <w:sz w:val="14"/>
              </w:rPr>
              <w:t>10（52.6%）</w:t>
            </w:r>
          </w:p>
        </w:tc>
        <w:tc>
          <w:tcPr>
            <w:tcW w:w="1757" w:type="dxa"/>
            <w:vAlign w:val="center"/>
          </w:tcPr>
          <w:p w14:paraId="4A36B217">
            <w:pPr>
              <w:spacing w:before="0" w:after="0" w:line="269" w:lineRule="auto"/>
              <w:ind w:firstLine="0"/>
              <w:jc w:val="center"/>
            </w:pPr>
            <w:r>
              <w:rPr>
                <w:rFonts w:ascii="微软雅黑" w:hAnsi="微软雅黑" w:eastAsia="微软雅黑"/>
                <w:color w:val="263238"/>
                <w:sz w:val="14"/>
              </w:rPr>
              <w:t>12（63.2%）</w:t>
            </w:r>
          </w:p>
        </w:tc>
        <w:tc>
          <w:tcPr>
            <w:tcW w:w="1871" w:type="dxa"/>
            <w:vAlign w:val="center"/>
          </w:tcPr>
          <w:p w14:paraId="2F5B0063">
            <w:pPr>
              <w:spacing w:before="0" w:after="0" w:line="269" w:lineRule="auto"/>
              <w:ind w:firstLine="0"/>
              <w:jc w:val="center"/>
            </w:pPr>
            <w:r>
              <w:rPr>
                <w:rFonts w:ascii="微软雅黑" w:hAnsi="微软雅黑" w:eastAsia="微软雅黑"/>
                <w:color w:val="263238"/>
                <w:sz w:val="14"/>
              </w:rPr>
              <w:t>0（0.0%）</w:t>
            </w:r>
          </w:p>
        </w:tc>
      </w:tr>
    </w:tbl>
    <w:p w14:paraId="6AB90542">
      <w:pPr>
        <w:pStyle w:val="175"/>
      </w:pPr>
      <w:r>
        <w:t>注：直接同意、最终拒绝和2次及以上独立通话根据原始工作簿复核；附带条件接纳采用经人工复核的86家编码。附带条件以全部有效门店n为分母。附表1按城市列示；杭州、长治两城的门店分属两个调查阶段（见附录一（三））。</w:t>
      </w:r>
    </w:p>
    <w:p w14:paraId="570BB627">
      <w:pPr>
        <w:pStyle w:val="5"/>
      </w:pPr>
      <w:r>
        <w:t>补充：三至四次独立通话样本</w:t>
      </w:r>
    </w:p>
    <w:p w14:paraId="7757D5B3">
      <w:r>
        <w:t>总体上，27家门店需要3次独立通话，5家需要4次，均属于首次未能直接形成结果的225家门店。按品牌看，城市便捷和维也纳需要3次通话的比例分别为23.5%（8/34）和21.7%（5/23）；锦江之星有8.7%（2/23）的相关样本进入4次通话。</w:t>
      </w:r>
    </w:p>
    <w:p w14:paraId="7FAE2491">
      <w:r>
        <w:t>城市样本中，桂林、嘉兴、武汉和深圳需要3次通话的比例分别为50.0%（1/2）、40.0%（4/10）、28.6%（2/7）和25.0%（1/4）；昆明、三亚、厦门和贵阳出现4次通话样本，其中厦门和三亚的比例分别为15.4%（2/13）和14.3%（1/7）。以上细分比例以首次未能直接形成结果的相关样本为分母，不与附表1中以全部有效门店为分母的“2次及以上”比例直接比较。相关样本量较小，这些细分比例仅作描述。</w:t>
      </w:r>
    </w:p>
    <w:p w14:paraId="0F4B338B">
      <w:pPr>
        <w:pStyle w:val="4"/>
        <w:pageBreakBefore/>
      </w:pPr>
      <w:bookmarkStart w:id="67" w:name="_Toc239432632"/>
      <w:bookmarkStart w:id="68" w:name="_Toc242417928"/>
      <w:r>
        <w:t>五 公众遇拒行动卡</w:t>
      </w:r>
      <w:bookmarkEnd w:id="67"/>
      <w:bookmarkEnd w:id="68"/>
    </w:p>
    <w:p w14:paraId="53051EEE">
      <w:r>
        <w:rPr>
          <w:rFonts w:hint="eastAsia"/>
        </w:rPr>
        <w:t>导盲犬使用者及同行者可以根据当下的时间、精力和住宿需要，选择继续交涉、寻求协调或改订酒店。行动卡列出获取明确答复和保留必要信息的办法，供需要时使用。选择先解决住宿或暂不投诉，不影响使用者的权利；接待和协调仍由酒店负责。</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4535"/>
        <w:gridCol w:w="2721"/>
      </w:tblGrid>
      <w:tr w14:paraId="27EE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shd w:val="clear" w:color="auto" w:fill="DDEBF7"/>
            <w:tcMar>
              <w:top w:w="90" w:type="dxa"/>
              <w:left w:w="110" w:type="dxa"/>
              <w:bottom w:w="90" w:type="dxa"/>
              <w:right w:w="110" w:type="dxa"/>
            </w:tcMar>
            <w:vAlign w:val="center"/>
          </w:tcPr>
          <w:p w14:paraId="06807C96">
            <w:pPr>
              <w:keepNext/>
              <w:spacing w:before="0" w:after="0" w:line="269" w:lineRule="auto"/>
              <w:ind w:firstLine="0"/>
            </w:pPr>
            <w:r>
              <w:rPr>
                <w:b/>
                <w:color w:val="17365D"/>
                <w:sz w:val="16"/>
              </w:rPr>
              <w:t>情境</w:t>
            </w:r>
          </w:p>
        </w:tc>
        <w:tc>
          <w:tcPr>
            <w:tcW w:w="4535" w:type="dxa"/>
            <w:shd w:val="clear" w:color="auto" w:fill="DDEBF7"/>
            <w:tcMar>
              <w:top w:w="90" w:type="dxa"/>
              <w:left w:w="110" w:type="dxa"/>
              <w:bottom w:w="90" w:type="dxa"/>
              <w:right w:w="110" w:type="dxa"/>
            </w:tcMar>
            <w:vAlign w:val="center"/>
          </w:tcPr>
          <w:p w14:paraId="0A383E18">
            <w:pPr>
              <w:keepNext/>
              <w:spacing w:before="0" w:after="0" w:line="269" w:lineRule="auto"/>
              <w:ind w:firstLine="0"/>
            </w:pPr>
            <w:r>
              <w:rPr>
                <w:b/>
                <w:color w:val="17365D"/>
                <w:sz w:val="16"/>
              </w:rPr>
              <w:t>可以怎么做</w:t>
            </w:r>
          </w:p>
        </w:tc>
        <w:tc>
          <w:tcPr>
            <w:tcW w:w="2721" w:type="dxa"/>
            <w:shd w:val="clear" w:color="auto" w:fill="DDEBF7"/>
            <w:tcMar>
              <w:top w:w="90" w:type="dxa"/>
              <w:left w:w="110" w:type="dxa"/>
              <w:bottom w:w="90" w:type="dxa"/>
              <w:right w:w="110" w:type="dxa"/>
            </w:tcMar>
            <w:vAlign w:val="center"/>
          </w:tcPr>
          <w:p w14:paraId="2AB2C9A7">
            <w:pPr>
              <w:keepNext/>
              <w:spacing w:before="0" w:after="0" w:line="269" w:lineRule="auto"/>
              <w:ind w:firstLine="0"/>
            </w:pPr>
            <w:r>
              <w:rPr>
                <w:b/>
                <w:color w:val="17365D"/>
                <w:sz w:val="16"/>
              </w:rPr>
              <w:t>建议保留的信息</w:t>
            </w:r>
          </w:p>
        </w:tc>
      </w:tr>
      <w:tr w14:paraId="09B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135D5899">
            <w:pPr>
              <w:spacing w:before="0" w:after="0" w:line="269" w:lineRule="auto"/>
              <w:ind w:firstLine="0"/>
            </w:pPr>
            <w:r>
              <w:rPr>
                <w:sz w:val="16"/>
              </w:rPr>
              <w:t>1预订前</w:t>
            </w:r>
          </w:p>
        </w:tc>
        <w:tc>
          <w:tcPr>
            <w:tcW w:w="4535" w:type="dxa"/>
            <w:tcMar>
              <w:top w:w="90" w:type="dxa"/>
              <w:left w:w="110" w:type="dxa"/>
              <w:bottom w:w="90" w:type="dxa"/>
              <w:right w:w="110" w:type="dxa"/>
            </w:tcMar>
            <w:vAlign w:val="center"/>
          </w:tcPr>
          <w:p w14:paraId="7F1CAF75">
            <w:pPr>
              <w:spacing w:before="0" w:after="0" w:line="269" w:lineRule="auto"/>
              <w:ind w:firstLine="0"/>
            </w:pPr>
            <w:r>
              <w:rPr>
                <w:sz w:val="16"/>
              </w:rPr>
              <w:t>想提前了解安排时，可任选一个渠道询问：能否入住、需要核验什么、是否额外收费、公共区域有无限制。不必逐一核对各个渠道，这些事项本应由酒店一次说清。</w:t>
            </w:r>
          </w:p>
        </w:tc>
        <w:tc>
          <w:tcPr>
            <w:tcW w:w="2721" w:type="dxa"/>
            <w:tcMar>
              <w:top w:w="90" w:type="dxa"/>
              <w:left w:w="110" w:type="dxa"/>
              <w:bottom w:w="90" w:type="dxa"/>
              <w:right w:w="110" w:type="dxa"/>
            </w:tcMar>
            <w:vAlign w:val="center"/>
          </w:tcPr>
          <w:p w14:paraId="0A841F75">
            <w:pPr>
              <w:spacing w:before="0" w:after="0" w:line="269" w:lineRule="auto"/>
              <w:ind w:firstLine="0"/>
            </w:pPr>
            <w:r>
              <w:rPr>
                <w:sz w:val="16"/>
              </w:rPr>
              <w:t>页面截图、门店名称、咨询时间。</w:t>
            </w:r>
          </w:p>
        </w:tc>
      </w:tr>
      <w:tr w14:paraId="12A2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shd w:val="clear" w:color="auto" w:fill="F3F7FA"/>
            <w:tcMar>
              <w:top w:w="90" w:type="dxa"/>
              <w:left w:w="110" w:type="dxa"/>
              <w:bottom w:w="90" w:type="dxa"/>
              <w:right w:w="110" w:type="dxa"/>
            </w:tcMar>
            <w:vAlign w:val="center"/>
          </w:tcPr>
          <w:p w14:paraId="5ED17D64">
            <w:pPr>
              <w:spacing w:before="0" w:after="0" w:line="269" w:lineRule="auto"/>
              <w:ind w:firstLine="0"/>
            </w:pPr>
            <w:r>
              <w:rPr>
                <w:sz w:val="16"/>
              </w:rPr>
              <w:t>2答复不清</w:t>
            </w:r>
          </w:p>
        </w:tc>
        <w:tc>
          <w:tcPr>
            <w:tcW w:w="4535" w:type="dxa"/>
            <w:shd w:val="clear" w:color="auto" w:fill="F3F7FA"/>
            <w:tcMar>
              <w:top w:w="90" w:type="dxa"/>
              <w:left w:w="110" w:type="dxa"/>
              <w:bottom w:w="90" w:type="dxa"/>
              <w:right w:w="110" w:type="dxa"/>
            </w:tcMar>
            <w:vAlign w:val="center"/>
          </w:tcPr>
          <w:p w14:paraId="25C4422B">
            <w:pPr>
              <w:spacing w:before="0" w:after="0" w:line="269" w:lineRule="auto"/>
              <w:ind w:firstLine="0"/>
            </w:pPr>
            <w:r>
              <w:rPr>
                <w:sz w:val="16"/>
              </w:rPr>
              <w:t>如愿意继续沟通，可请首次接听人员负责内部核实并约时回电。信息交接由酒店完成，不必向不同人员重复解释。</w:t>
            </w:r>
          </w:p>
        </w:tc>
        <w:tc>
          <w:tcPr>
            <w:tcW w:w="2721" w:type="dxa"/>
            <w:shd w:val="clear" w:color="auto" w:fill="F3F7FA"/>
            <w:tcMar>
              <w:top w:w="90" w:type="dxa"/>
              <w:left w:w="110" w:type="dxa"/>
              <w:bottom w:w="90" w:type="dxa"/>
              <w:right w:w="110" w:type="dxa"/>
            </w:tcMar>
            <w:vAlign w:val="center"/>
          </w:tcPr>
          <w:p w14:paraId="752B211E">
            <w:pPr>
              <w:spacing w:before="0" w:after="0" w:line="269" w:lineRule="auto"/>
              <w:ind w:firstLine="0"/>
            </w:pPr>
            <w:r>
              <w:rPr>
                <w:sz w:val="16"/>
              </w:rPr>
              <w:t>接听岗位、承诺回电时间、主要答复。</w:t>
            </w:r>
          </w:p>
        </w:tc>
      </w:tr>
      <w:tr w14:paraId="2331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7CB9979F">
            <w:pPr>
              <w:spacing w:before="0" w:after="0" w:line="269" w:lineRule="auto"/>
              <w:ind w:firstLine="0"/>
            </w:pPr>
            <w:r>
              <w:rPr>
                <w:sz w:val="16"/>
              </w:rPr>
              <w:t>3明确拒绝</w:t>
            </w:r>
          </w:p>
        </w:tc>
        <w:tc>
          <w:tcPr>
            <w:tcW w:w="4535" w:type="dxa"/>
            <w:tcMar>
              <w:top w:w="90" w:type="dxa"/>
              <w:left w:w="110" w:type="dxa"/>
              <w:bottom w:w="90" w:type="dxa"/>
              <w:right w:w="110" w:type="dxa"/>
            </w:tcMar>
            <w:vAlign w:val="center"/>
          </w:tcPr>
          <w:p w14:paraId="76FAB46E">
            <w:pPr>
              <w:spacing w:before="0" w:after="0" w:line="269" w:lineRule="auto"/>
              <w:ind w:firstLine="0"/>
            </w:pPr>
            <w:r>
              <w:rPr>
                <w:sz w:val="16"/>
              </w:rPr>
              <w:t>如有意继续交涉，可请酒店说明拒绝理由和决定人员，由负责人自行核查《无障碍环境建设法》第四十六条及适用规则后回复；也可以直接选择其他求助渠道。</w:t>
            </w:r>
          </w:p>
        </w:tc>
        <w:tc>
          <w:tcPr>
            <w:tcW w:w="2721" w:type="dxa"/>
            <w:tcMar>
              <w:top w:w="90" w:type="dxa"/>
              <w:left w:w="110" w:type="dxa"/>
              <w:bottom w:w="90" w:type="dxa"/>
              <w:right w:w="110" w:type="dxa"/>
            </w:tcMar>
            <w:vAlign w:val="center"/>
          </w:tcPr>
          <w:p w14:paraId="0AE8E1F7">
            <w:pPr>
              <w:spacing w:before="0" w:after="0" w:line="269" w:lineRule="auto"/>
              <w:ind w:firstLine="0"/>
            </w:pPr>
            <w:r>
              <w:rPr>
                <w:sz w:val="16"/>
              </w:rPr>
              <w:t>拒绝理由、决定岗位、复核结果。</w:t>
            </w:r>
          </w:p>
        </w:tc>
      </w:tr>
      <w:tr w14:paraId="5255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shd w:val="clear" w:color="auto" w:fill="F3F7FA"/>
            <w:tcMar>
              <w:top w:w="90" w:type="dxa"/>
              <w:left w:w="110" w:type="dxa"/>
              <w:bottom w:w="90" w:type="dxa"/>
              <w:right w:w="110" w:type="dxa"/>
            </w:tcMar>
            <w:vAlign w:val="center"/>
          </w:tcPr>
          <w:p w14:paraId="3C1E5D19">
            <w:pPr>
              <w:spacing w:before="0" w:after="0" w:line="269" w:lineRule="auto"/>
              <w:ind w:firstLine="0"/>
            </w:pPr>
            <w:r>
              <w:rPr>
                <w:sz w:val="16"/>
              </w:rPr>
              <w:t>4仍未解决</w:t>
            </w:r>
          </w:p>
        </w:tc>
        <w:tc>
          <w:tcPr>
            <w:tcW w:w="4535" w:type="dxa"/>
            <w:shd w:val="clear" w:color="auto" w:fill="F3F7FA"/>
            <w:tcMar>
              <w:top w:w="90" w:type="dxa"/>
              <w:left w:w="110" w:type="dxa"/>
              <w:bottom w:w="90" w:type="dxa"/>
              <w:right w:w="110" w:type="dxa"/>
            </w:tcMar>
            <w:vAlign w:val="center"/>
          </w:tcPr>
          <w:p w14:paraId="73E65B2D">
            <w:pPr>
              <w:spacing w:before="0" w:after="0" w:line="269" w:lineRule="auto"/>
              <w:ind w:firstLine="0"/>
            </w:pPr>
            <w:r>
              <w:rPr>
                <w:sz w:val="16"/>
              </w:rPr>
              <w:t>可按当下需要选择集团客服、预订平台，或12345、12315及所在地文化和旅游、市场监管等渠道，无须先逐一联系所有内部渠道。集团和平台受理后，应自行联系门店协调并回复。</w:t>
            </w:r>
          </w:p>
        </w:tc>
        <w:tc>
          <w:tcPr>
            <w:tcW w:w="2721" w:type="dxa"/>
            <w:shd w:val="clear" w:color="auto" w:fill="F3F7FA"/>
            <w:tcMar>
              <w:top w:w="90" w:type="dxa"/>
              <w:left w:w="110" w:type="dxa"/>
              <w:bottom w:w="90" w:type="dxa"/>
              <w:right w:w="110" w:type="dxa"/>
            </w:tcMar>
            <w:vAlign w:val="center"/>
          </w:tcPr>
          <w:p w14:paraId="6744B80B">
            <w:pPr>
              <w:spacing w:before="0" w:after="0" w:line="269" w:lineRule="auto"/>
              <w:ind w:firstLine="0"/>
            </w:pPr>
            <w:r>
              <w:rPr>
                <w:sz w:val="16"/>
              </w:rPr>
              <w:t>订单、票据、沟通时间线和书面回复。</w:t>
            </w:r>
          </w:p>
        </w:tc>
      </w:tr>
      <w:tr w14:paraId="5732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32DD52F6">
            <w:pPr>
              <w:spacing w:before="0" w:after="0" w:line="269" w:lineRule="auto"/>
              <w:ind w:firstLine="0"/>
            </w:pPr>
            <w:r>
              <w:rPr>
                <w:sz w:val="16"/>
              </w:rPr>
              <w:t>5到店冲突</w:t>
            </w:r>
          </w:p>
        </w:tc>
        <w:tc>
          <w:tcPr>
            <w:tcW w:w="4535" w:type="dxa"/>
            <w:tcMar>
              <w:top w:w="90" w:type="dxa"/>
              <w:left w:w="110" w:type="dxa"/>
              <w:bottom w:w="90" w:type="dxa"/>
              <w:right w:w="110" w:type="dxa"/>
            </w:tcMar>
            <w:vAlign w:val="center"/>
          </w:tcPr>
          <w:p w14:paraId="6FC47D28">
            <w:pPr>
              <w:spacing w:before="0" w:after="0" w:line="269" w:lineRule="auto"/>
              <w:ind w:firstLine="0"/>
            </w:pPr>
            <w:r>
              <w:rPr>
                <w:sz w:val="16"/>
              </w:rPr>
              <w:t>优先考虑当下住宿和人身安全，可要求值班经理落实解决方案，由酒店记录并协调处理。确需改订时，如愿意且有余力，可保留新增费用和交通支出凭证，用于之后自愿选择的投诉或法律求助。</w:t>
            </w:r>
          </w:p>
        </w:tc>
        <w:tc>
          <w:tcPr>
            <w:tcW w:w="2721" w:type="dxa"/>
            <w:tcMar>
              <w:top w:w="90" w:type="dxa"/>
              <w:left w:w="110" w:type="dxa"/>
              <w:bottom w:w="90" w:type="dxa"/>
              <w:right w:w="110" w:type="dxa"/>
            </w:tcMar>
            <w:vAlign w:val="center"/>
          </w:tcPr>
          <w:p w14:paraId="600266E8">
            <w:pPr>
              <w:spacing w:before="0" w:after="0" w:line="269" w:lineRule="auto"/>
              <w:ind w:firstLine="0"/>
            </w:pPr>
            <w:r>
              <w:rPr>
                <w:sz w:val="16"/>
              </w:rPr>
              <w:t>现场人员、实际处理、额外支出凭证。</w:t>
            </w:r>
          </w:p>
        </w:tc>
      </w:tr>
    </w:tbl>
    <w:p w14:paraId="528B3EAF">
      <w:pPr>
        <w:spacing w:before="120" w:after="120"/>
      </w:pPr>
      <w:r>
        <w:rPr>
          <w:b/>
          <w:color w:val="000000"/>
        </w:rPr>
        <w:t>记录原则：</w:t>
      </w:r>
      <w:r>
        <w:t>只保留解决问题所需的信息。在遵守适用规定和他人隐私的前提下记录沟通过程；不公开无关人员的姓名、电话、住客信息和未核实指控。</w:t>
      </w:r>
    </w:p>
    <w:p w14:paraId="42F0B00B">
      <w:pPr>
        <w:pStyle w:val="4"/>
        <w:pageBreakBefore/>
      </w:pPr>
      <w:bookmarkStart w:id="69" w:name="_Toc242417929"/>
      <w:bookmarkStart w:id="70" w:name="_Toc239432633"/>
      <w:r>
        <w:t>六 酒店操作工具</w:t>
      </w:r>
      <w:bookmarkEnd w:id="69"/>
      <w:bookmarkEnd w:id="70"/>
    </w:p>
    <w:p w14:paraId="269E6220">
      <w:r>
        <w:t>六类工具对应前台、客房、平台和客诉岗位。集团使用时，应结合国家及所在地规定、物业条件和现行系统流程完成法务与运营复核，并标注适用范围和更新日期。</w:t>
      </w:r>
    </w:p>
    <w:p w14:paraId="25272E15">
      <w:pPr>
        <w:pStyle w:val="5"/>
      </w:pPr>
      <w:r>
        <w:t>工具1 员工口袋卡</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6860"/>
      </w:tblGrid>
      <w:tr w14:paraId="1F72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7" w:type="dxa"/>
            <w:shd w:val="clear" w:color="auto" w:fill="DDEBF7"/>
            <w:tcMar>
              <w:top w:w="90" w:type="dxa"/>
              <w:left w:w="110" w:type="dxa"/>
              <w:bottom w:w="90" w:type="dxa"/>
              <w:right w:w="110" w:type="dxa"/>
            </w:tcMar>
            <w:vAlign w:val="center"/>
          </w:tcPr>
          <w:p w14:paraId="6B1FA7E7">
            <w:pPr>
              <w:keepNext/>
              <w:spacing w:before="0" w:after="0" w:line="269" w:lineRule="auto"/>
              <w:ind w:firstLine="0"/>
            </w:pPr>
            <w:r>
              <w:rPr>
                <w:b/>
                <w:color w:val="17365D"/>
                <w:sz w:val="17"/>
              </w:rPr>
              <w:t>环节</w:t>
            </w:r>
          </w:p>
        </w:tc>
        <w:tc>
          <w:tcPr>
            <w:tcW w:w="6860" w:type="dxa"/>
            <w:shd w:val="clear" w:color="auto" w:fill="DDEBF7"/>
            <w:tcMar>
              <w:top w:w="90" w:type="dxa"/>
              <w:left w:w="110" w:type="dxa"/>
              <w:bottom w:w="90" w:type="dxa"/>
              <w:right w:w="110" w:type="dxa"/>
            </w:tcMar>
            <w:vAlign w:val="center"/>
          </w:tcPr>
          <w:p w14:paraId="387945AD">
            <w:pPr>
              <w:keepNext/>
              <w:spacing w:before="0" w:after="0" w:line="269" w:lineRule="auto"/>
              <w:ind w:firstLine="0"/>
            </w:pPr>
            <w:r>
              <w:rPr>
                <w:b/>
                <w:color w:val="17365D"/>
                <w:sz w:val="17"/>
              </w:rPr>
              <w:t>一线动作</w:t>
            </w:r>
          </w:p>
        </w:tc>
      </w:tr>
      <w:tr w14:paraId="758A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1087B21E">
            <w:pPr>
              <w:spacing w:before="0" w:after="0" w:line="269" w:lineRule="auto"/>
              <w:ind w:firstLine="0"/>
            </w:pPr>
            <w:r>
              <w:rPr>
                <w:sz w:val="17"/>
              </w:rPr>
              <w:t>先识别</w:t>
            </w:r>
          </w:p>
        </w:tc>
        <w:tc>
          <w:tcPr>
            <w:tcW w:w="6860" w:type="dxa"/>
            <w:tcMar>
              <w:top w:w="90" w:type="dxa"/>
              <w:left w:w="110" w:type="dxa"/>
              <w:bottom w:w="90" w:type="dxa"/>
              <w:right w:w="110" w:type="dxa"/>
            </w:tcMar>
            <w:vAlign w:val="center"/>
          </w:tcPr>
          <w:p w14:paraId="40C8E1C5">
            <w:pPr>
              <w:spacing w:before="0" w:after="0" w:line="269" w:lineRule="auto"/>
              <w:ind w:firstLine="0"/>
            </w:pPr>
            <w:r>
              <w:rPr>
                <w:sz w:val="17"/>
              </w:rPr>
              <w:t>导盲犬是协助视障者出行的服务犬，不套用普通宠物禁入规则。直接与住客本人沟通。</w:t>
            </w:r>
          </w:p>
        </w:tc>
      </w:tr>
      <w:tr w14:paraId="6E3A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4DAA3C60">
            <w:pPr>
              <w:spacing w:before="0" w:after="0" w:line="269" w:lineRule="auto"/>
              <w:ind w:firstLine="0"/>
            </w:pPr>
            <w:r>
              <w:rPr>
                <w:sz w:val="17"/>
              </w:rPr>
              <w:t>查规则</w:t>
            </w:r>
          </w:p>
        </w:tc>
        <w:tc>
          <w:tcPr>
            <w:tcW w:w="6860" w:type="dxa"/>
            <w:shd w:val="clear" w:color="auto" w:fill="F3F7FA"/>
            <w:tcMar>
              <w:top w:w="90" w:type="dxa"/>
              <w:left w:w="110" w:type="dxa"/>
              <w:bottom w:w="90" w:type="dxa"/>
              <w:right w:w="110" w:type="dxa"/>
            </w:tcMar>
            <w:vAlign w:val="center"/>
          </w:tcPr>
          <w:p w14:paraId="16DB1827">
            <w:pPr>
              <w:spacing w:before="0" w:after="0" w:line="269" w:lineRule="auto"/>
              <w:ind w:firstLine="0"/>
            </w:pPr>
            <w:r>
              <w:rPr>
                <w:sz w:val="17"/>
              </w:rPr>
              <w:t>查询集团当前有效政策。依据适用规定核验必要材料，不自行增加证件组合，不拍摄或留存无关信息。</w:t>
            </w:r>
          </w:p>
        </w:tc>
      </w:tr>
      <w:tr w14:paraId="5978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4D6FB509">
            <w:pPr>
              <w:spacing w:before="0" w:after="0" w:line="269" w:lineRule="auto"/>
              <w:ind w:firstLine="0"/>
            </w:pPr>
            <w:r>
              <w:rPr>
                <w:sz w:val="17"/>
              </w:rPr>
              <w:t>正常办理</w:t>
            </w:r>
          </w:p>
        </w:tc>
        <w:tc>
          <w:tcPr>
            <w:tcW w:w="6860" w:type="dxa"/>
            <w:tcMar>
              <w:top w:w="90" w:type="dxa"/>
              <w:left w:w="110" w:type="dxa"/>
              <w:bottom w:w="90" w:type="dxa"/>
              <w:right w:w="110" w:type="dxa"/>
            </w:tcMar>
            <w:vAlign w:val="center"/>
          </w:tcPr>
          <w:p w14:paraId="5180E905">
            <w:pPr>
              <w:spacing w:before="0" w:after="0" w:line="269" w:lineRule="auto"/>
              <w:ind w:firstLine="0"/>
            </w:pPr>
            <w:r>
              <w:rPr>
                <w:sz w:val="17"/>
              </w:rPr>
              <w:t>适用普通住客的房价、押金和房型规则，不预收服务犬清洁费，不要求无依据的免责协议。</w:t>
            </w:r>
          </w:p>
        </w:tc>
      </w:tr>
      <w:tr w14:paraId="6956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747BAB0A">
            <w:pPr>
              <w:spacing w:before="0" w:after="0" w:line="269" w:lineRule="auto"/>
              <w:ind w:firstLine="0"/>
            </w:pPr>
            <w:r>
              <w:rPr>
                <w:sz w:val="17"/>
              </w:rPr>
              <w:t>按需协助</w:t>
            </w:r>
          </w:p>
        </w:tc>
        <w:tc>
          <w:tcPr>
            <w:tcW w:w="6860" w:type="dxa"/>
            <w:shd w:val="clear" w:color="auto" w:fill="F3F7FA"/>
            <w:tcMar>
              <w:top w:w="90" w:type="dxa"/>
              <w:left w:w="110" w:type="dxa"/>
              <w:bottom w:w="90" w:type="dxa"/>
              <w:right w:w="110" w:type="dxa"/>
            </w:tcMar>
            <w:vAlign w:val="center"/>
          </w:tcPr>
          <w:p w14:paraId="475D8223">
            <w:pPr>
              <w:spacing w:before="0" w:after="0" w:line="269" w:lineRule="auto"/>
              <w:ind w:firstLine="0"/>
            </w:pPr>
            <w:r>
              <w:rPr>
                <w:sz w:val="17"/>
              </w:rPr>
              <w:t>询问是否需要介绍电梯方向、客房布局、设施位置或一次性引导。未经同意，不拉住客手臂，不触碰牵引绳或导盲鞍。</w:t>
            </w:r>
          </w:p>
        </w:tc>
      </w:tr>
      <w:tr w14:paraId="79C8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30EBD4C6">
            <w:pPr>
              <w:spacing w:before="0" w:after="0" w:line="269" w:lineRule="auto"/>
              <w:ind w:firstLine="0"/>
            </w:pPr>
            <w:r>
              <w:rPr>
                <w:sz w:val="17"/>
              </w:rPr>
              <w:t>无法确认</w:t>
            </w:r>
          </w:p>
        </w:tc>
        <w:tc>
          <w:tcPr>
            <w:tcW w:w="6860" w:type="dxa"/>
            <w:tcMar>
              <w:top w:w="90" w:type="dxa"/>
              <w:left w:w="110" w:type="dxa"/>
              <w:bottom w:w="90" w:type="dxa"/>
              <w:right w:w="110" w:type="dxa"/>
            </w:tcMar>
            <w:vAlign w:val="center"/>
          </w:tcPr>
          <w:p w14:paraId="624E881E">
            <w:pPr>
              <w:spacing w:before="0" w:after="0" w:line="269" w:lineRule="auto"/>
              <w:ind w:firstLine="0"/>
            </w:pPr>
            <w:r>
              <w:rPr>
                <w:rFonts w:hint="eastAsia"/>
                <w:sz w:val="17"/>
              </w:rPr>
              <w:t>由首次接听员工发起内部查询，联系当班负责人，并在明确时限内回电；不让咨询者反复拨打。</w:t>
            </w:r>
          </w:p>
        </w:tc>
      </w:tr>
      <w:tr w14:paraId="7D31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2A230FF5">
            <w:pPr>
              <w:spacing w:before="0" w:after="0" w:line="269" w:lineRule="auto"/>
              <w:ind w:firstLine="0"/>
            </w:pPr>
            <w:r>
              <w:rPr>
                <w:sz w:val="17"/>
              </w:rPr>
              <w:t>出现分歧</w:t>
            </w:r>
          </w:p>
        </w:tc>
        <w:tc>
          <w:tcPr>
            <w:tcW w:w="6860" w:type="dxa"/>
            <w:shd w:val="clear" w:color="auto" w:fill="F3F7FA"/>
            <w:tcMar>
              <w:top w:w="90" w:type="dxa"/>
              <w:left w:w="110" w:type="dxa"/>
              <w:bottom w:w="90" w:type="dxa"/>
              <w:right w:w="110" w:type="dxa"/>
            </w:tcMar>
            <w:vAlign w:val="center"/>
          </w:tcPr>
          <w:p w14:paraId="1E27F010">
            <w:pPr>
              <w:spacing w:before="0" w:after="0" w:line="269" w:lineRule="auto"/>
              <w:ind w:firstLine="0"/>
            </w:pPr>
            <w:r>
              <w:rPr>
                <w:sz w:val="17"/>
              </w:rPr>
              <w:t>先保障住客继续使用服务，再核实实际卫生、安全或过敏需求；优先调整座位、房间、楼层或动线。</w:t>
            </w:r>
          </w:p>
        </w:tc>
      </w:tr>
    </w:tbl>
    <w:p w14:paraId="6BA0D655">
      <w:pPr>
        <w:spacing w:before="120" w:after="120"/>
      </w:pPr>
      <w:r>
        <w:rPr>
          <w:rFonts w:hint="eastAsia"/>
          <w:b/>
          <w:color w:val="000000"/>
        </w:rPr>
        <w:t>前台参考用语：“我们可以接待您和导盲犬。核验材料和入住安排由我一次向您说明；需要进一步确认的事项，我会联系当班负责人，并在约定时间内回复您。”</w:t>
      </w:r>
    </w:p>
    <w:p w14:paraId="144B595E">
      <w:pPr>
        <w:pStyle w:val="5"/>
        <w:pageBreakBefore/>
      </w:pPr>
      <w:r>
        <w:t>工具2 预订平台与线下标识检查表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3969"/>
        <w:gridCol w:w="2835"/>
      </w:tblGrid>
      <w:tr w14:paraId="522A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DDEBF7"/>
            <w:tcMar>
              <w:top w:w="90" w:type="dxa"/>
              <w:left w:w="110" w:type="dxa"/>
              <w:bottom w:w="90" w:type="dxa"/>
              <w:right w:w="110" w:type="dxa"/>
            </w:tcMar>
            <w:vAlign w:val="center"/>
          </w:tcPr>
          <w:p w14:paraId="29B02093">
            <w:pPr>
              <w:keepNext/>
              <w:spacing w:before="0" w:after="0" w:line="269" w:lineRule="auto"/>
              <w:ind w:firstLine="0"/>
            </w:pPr>
            <w:r>
              <w:rPr>
                <w:b/>
                <w:color w:val="17365D"/>
                <w:sz w:val="16"/>
              </w:rPr>
              <w:t>位置</w:t>
            </w:r>
          </w:p>
        </w:tc>
        <w:tc>
          <w:tcPr>
            <w:tcW w:w="3969" w:type="dxa"/>
            <w:shd w:val="clear" w:color="auto" w:fill="DDEBF7"/>
            <w:tcMar>
              <w:top w:w="90" w:type="dxa"/>
              <w:left w:w="110" w:type="dxa"/>
              <w:bottom w:w="90" w:type="dxa"/>
              <w:right w:w="110" w:type="dxa"/>
            </w:tcMar>
            <w:vAlign w:val="center"/>
          </w:tcPr>
          <w:p w14:paraId="64DE6E6F">
            <w:pPr>
              <w:keepNext/>
              <w:spacing w:before="0" w:after="0" w:line="269" w:lineRule="auto"/>
              <w:ind w:firstLine="0"/>
            </w:pPr>
            <w:r>
              <w:rPr>
                <w:b/>
                <w:color w:val="17365D"/>
                <w:sz w:val="16"/>
              </w:rPr>
              <w:t>必查内容</w:t>
            </w:r>
          </w:p>
        </w:tc>
        <w:tc>
          <w:tcPr>
            <w:tcW w:w="2835" w:type="dxa"/>
            <w:shd w:val="clear" w:color="auto" w:fill="DDEBF7"/>
            <w:tcMar>
              <w:top w:w="90" w:type="dxa"/>
              <w:left w:w="110" w:type="dxa"/>
              <w:bottom w:w="90" w:type="dxa"/>
              <w:right w:w="110" w:type="dxa"/>
            </w:tcMar>
            <w:vAlign w:val="center"/>
          </w:tcPr>
          <w:p w14:paraId="443F79A8">
            <w:pPr>
              <w:keepNext/>
              <w:spacing w:before="0" w:after="0" w:line="269" w:lineRule="auto"/>
              <w:ind w:firstLine="0"/>
            </w:pPr>
            <w:r>
              <w:rPr>
                <w:b/>
                <w:color w:val="17365D"/>
                <w:sz w:val="16"/>
              </w:rPr>
              <w:t>合格状态</w:t>
            </w:r>
          </w:p>
        </w:tc>
      </w:tr>
      <w:tr w14:paraId="2E6D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55C58EEA">
            <w:pPr>
              <w:spacing w:before="0" w:after="0" w:line="269" w:lineRule="auto"/>
              <w:ind w:firstLine="0"/>
            </w:pPr>
            <w:r>
              <w:rPr>
                <w:sz w:val="16"/>
              </w:rPr>
              <w:t>官网／官方App</w:t>
            </w:r>
          </w:p>
        </w:tc>
        <w:tc>
          <w:tcPr>
            <w:tcW w:w="3969" w:type="dxa"/>
            <w:tcMar>
              <w:top w:w="90" w:type="dxa"/>
              <w:left w:w="110" w:type="dxa"/>
              <w:bottom w:w="90" w:type="dxa"/>
              <w:right w:w="110" w:type="dxa"/>
            </w:tcMar>
            <w:vAlign w:val="center"/>
          </w:tcPr>
          <w:p w14:paraId="17089AB3">
            <w:pPr>
              <w:spacing w:before="0" w:after="0" w:line="269" w:lineRule="auto"/>
              <w:ind w:firstLine="0"/>
            </w:pPr>
            <w:r>
              <w:rPr>
                <w:sz w:val="16"/>
              </w:rPr>
              <w:t xml:space="preserve">服务犬信息与普通宠物政策分开；</w:t>
            </w:r>
            <w:r>
              <w:rPr>
                <w:sz w:val="16"/>
              </w:rPr>
              <w:t xml:space="preserve">写明能否入住、需要带哪些证件</w:t>
            </w:r>
            <w:r>
              <w:rPr>
                <w:sz w:val="16"/>
              </w:rPr>
              <w:t xml:space="preserve">、适用门店和更新时间</w:t>
            </w:r>
            <w:r>
              <w:rPr>
                <w:sz w:val="16"/>
              </w:rPr>
              <w:t xml:space="preserve">。</w:t>
            </w:r>
          </w:p>
        </w:tc>
        <w:tc>
          <w:tcPr>
            <w:tcW w:w="2835" w:type="dxa"/>
            <w:tcMar>
              <w:top w:w="90" w:type="dxa"/>
              <w:left w:w="110" w:type="dxa"/>
              <w:bottom w:w="90" w:type="dxa"/>
              <w:right w:w="110" w:type="dxa"/>
            </w:tcMar>
            <w:vAlign w:val="center"/>
          </w:tcPr>
          <w:p w14:paraId="402389E3">
            <w:pPr>
              <w:spacing w:before="0" w:after="0" w:line="269" w:lineRule="auto"/>
              <w:ind w:firstLine="0"/>
            </w:pPr>
            <w:r>
              <w:rPr>
                <w:rFonts w:hint="eastAsia"/>
                <w:sz w:val="16"/>
              </w:rPr>
              <w:t>使用者不致电也能判断基本接待规则。</w:t>
            </w:r>
          </w:p>
        </w:tc>
      </w:tr>
      <w:tr w14:paraId="100B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3EB45DCB">
            <w:pPr>
              <w:spacing w:before="0" w:after="0" w:line="269" w:lineRule="auto"/>
              <w:ind w:firstLine="0"/>
            </w:pPr>
            <w:r>
              <w:rPr>
                <w:sz w:val="16"/>
              </w:rPr>
              <w:t>第三方预订平台</w:t>
            </w:r>
          </w:p>
        </w:tc>
        <w:tc>
          <w:tcPr>
            <w:tcW w:w="3969" w:type="dxa"/>
            <w:shd w:val="clear" w:color="auto" w:fill="F3F7FA"/>
            <w:tcMar>
              <w:top w:w="90" w:type="dxa"/>
              <w:left w:w="110" w:type="dxa"/>
              <w:bottom w:w="90" w:type="dxa"/>
              <w:right w:w="110" w:type="dxa"/>
            </w:tcMar>
            <w:vAlign w:val="center"/>
          </w:tcPr>
          <w:p w14:paraId="287F0D2A">
            <w:pPr>
              <w:spacing w:before="0" w:after="0" w:line="269" w:lineRule="auto"/>
              <w:ind w:firstLine="0"/>
            </w:pPr>
            <w:r>
              <w:rPr>
                <w:sz w:val="16"/>
              </w:rPr>
              <w:t>集团、品牌和门店字段一致；如提供提前协助的联系渠道，应写明由住客自主选择，未提前联系不影响依法接待。</w:t>
            </w:r>
          </w:p>
        </w:tc>
        <w:tc>
          <w:tcPr>
            <w:tcW w:w="2835" w:type="dxa"/>
            <w:shd w:val="clear" w:color="auto" w:fill="F3F7FA"/>
            <w:tcMar>
              <w:top w:w="90" w:type="dxa"/>
              <w:left w:w="110" w:type="dxa"/>
              <w:bottom w:w="90" w:type="dxa"/>
              <w:right w:w="110" w:type="dxa"/>
            </w:tcMar>
            <w:vAlign w:val="center"/>
          </w:tcPr>
          <w:p w14:paraId="2D28C49F">
            <w:pPr>
              <w:spacing w:before="0" w:after="0" w:line="269" w:lineRule="auto"/>
              <w:ind w:firstLine="0"/>
            </w:pPr>
            <w:r>
              <w:rPr>
                <w:sz w:val="16"/>
              </w:rPr>
              <w:t>普通宠物政策与服务犬接待政策分别表述，不混用；服务犬接待信息在各渠道保持一致。</w:t>
            </w:r>
          </w:p>
        </w:tc>
      </w:tr>
      <w:tr w14:paraId="5579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3305C0AE">
            <w:pPr>
              <w:spacing w:before="0" w:after="0" w:line="269" w:lineRule="auto"/>
              <w:ind w:firstLine="0"/>
            </w:pPr>
            <w:r>
              <w:rPr>
                <w:sz w:val="16"/>
              </w:rPr>
              <w:t>客服知识库</w:t>
            </w:r>
          </w:p>
        </w:tc>
        <w:tc>
          <w:tcPr>
            <w:tcW w:w="3969" w:type="dxa"/>
            <w:tcMar>
              <w:top w:w="90" w:type="dxa"/>
              <w:left w:w="110" w:type="dxa"/>
              <w:bottom w:w="90" w:type="dxa"/>
              <w:right w:w="110" w:type="dxa"/>
            </w:tcMar>
            <w:vAlign w:val="center"/>
          </w:tcPr>
          <w:p w14:paraId="7EBD9525">
            <w:pPr>
              <w:spacing w:before="0" w:after="0" w:line="269" w:lineRule="auto"/>
              <w:ind w:firstLine="0"/>
            </w:pPr>
            <w:r>
              <w:rPr>
                <w:sz w:val="16"/>
              </w:rPr>
              <w:t>证件核验、收费、房型、公共空间、上报处理流程与门店手册一致。</w:t>
            </w:r>
          </w:p>
        </w:tc>
        <w:tc>
          <w:tcPr>
            <w:tcW w:w="2835" w:type="dxa"/>
            <w:tcMar>
              <w:top w:w="90" w:type="dxa"/>
              <w:left w:w="110" w:type="dxa"/>
              <w:bottom w:w="90" w:type="dxa"/>
              <w:right w:w="110" w:type="dxa"/>
            </w:tcMar>
            <w:vAlign w:val="center"/>
          </w:tcPr>
          <w:p w14:paraId="4A0FA6A6">
            <w:pPr>
              <w:spacing w:before="0" w:after="0" w:line="269" w:lineRule="auto"/>
              <w:ind w:firstLine="0"/>
            </w:pPr>
            <w:r>
              <w:rPr>
                <w:sz w:val="16"/>
              </w:rPr>
              <w:t>客服能够说明依据并直接协调门店。</w:t>
            </w:r>
          </w:p>
        </w:tc>
      </w:tr>
      <w:tr w14:paraId="1479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20B5B40B">
            <w:pPr>
              <w:spacing w:before="0" w:after="0" w:line="269" w:lineRule="auto"/>
              <w:ind w:firstLine="0"/>
            </w:pPr>
            <w:r>
              <w:rPr>
                <w:sz w:val="16"/>
              </w:rPr>
              <w:t>酒店入口／前台</w:t>
            </w:r>
          </w:p>
        </w:tc>
        <w:tc>
          <w:tcPr>
            <w:tcW w:w="3969" w:type="dxa"/>
            <w:shd w:val="clear" w:color="auto" w:fill="F3F7FA"/>
            <w:tcMar>
              <w:top w:w="90" w:type="dxa"/>
              <w:left w:w="110" w:type="dxa"/>
              <w:bottom w:w="90" w:type="dxa"/>
              <w:right w:w="110" w:type="dxa"/>
            </w:tcMar>
            <w:vAlign w:val="center"/>
          </w:tcPr>
          <w:p w14:paraId="75C8DC7D">
            <w:pPr>
              <w:spacing w:before="0" w:after="0" w:line="269" w:lineRule="auto"/>
              <w:ind w:firstLine="0"/>
            </w:pPr>
            <w:r>
              <w:rPr>
                <w:sz w:val="16"/>
              </w:rPr>
              <w:t>使用高对比度文字和图形，说明依法接待导盲犬等服务犬及咨询方式。</w:t>
            </w:r>
          </w:p>
        </w:tc>
        <w:tc>
          <w:tcPr>
            <w:tcW w:w="2835" w:type="dxa"/>
            <w:shd w:val="clear" w:color="auto" w:fill="F3F7FA"/>
            <w:tcMar>
              <w:top w:w="90" w:type="dxa"/>
              <w:left w:w="110" w:type="dxa"/>
              <w:bottom w:w="90" w:type="dxa"/>
              <w:right w:w="110" w:type="dxa"/>
            </w:tcMar>
            <w:vAlign w:val="center"/>
          </w:tcPr>
          <w:p w14:paraId="35BFA717">
            <w:pPr>
              <w:spacing w:before="0" w:after="0" w:line="269" w:lineRule="auto"/>
              <w:ind w:firstLine="0"/>
            </w:pPr>
            <w:r>
              <w:rPr>
                <w:sz w:val="16"/>
              </w:rPr>
              <w:t>信息醒目、简短，不暴露任何住客入住信息。</w:t>
            </w:r>
          </w:p>
        </w:tc>
      </w:tr>
      <w:tr w14:paraId="2DCB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23442AE9">
            <w:pPr>
              <w:spacing w:before="0" w:after="0" w:line="269" w:lineRule="auto"/>
              <w:ind w:firstLine="0"/>
            </w:pPr>
            <w:r>
              <w:rPr>
                <w:sz w:val="16"/>
              </w:rPr>
              <w:t>更新机制</w:t>
            </w:r>
          </w:p>
        </w:tc>
        <w:tc>
          <w:tcPr>
            <w:tcW w:w="3969" w:type="dxa"/>
            <w:tcMar>
              <w:top w:w="90" w:type="dxa"/>
              <w:left w:w="110" w:type="dxa"/>
              <w:bottom w:w="90" w:type="dxa"/>
              <w:right w:w="110" w:type="dxa"/>
            </w:tcMar>
            <w:vAlign w:val="center"/>
          </w:tcPr>
          <w:p w14:paraId="092EF840">
            <w:pPr>
              <w:spacing w:before="0" w:after="0" w:line="269" w:lineRule="auto"/>
              <w:ind w:firstLine="0"/>
            </w:pPr>
            <w:r>
              <w:rPr>
                <w:sz w:val="16"/>
              </w:rPr>
              <w:t>规则调整时同步所有渠道，保留生效日期、旧版停用日期和责任部门。</w:t>
            </w:r>
          </w:p>
        </w:tc>
        <w:tc>
          <w:tcPr>
            <w:tcW w:w="2835" w:type="dxa"/>
            <w:tcMar>
              <w:top w:w="90" w:type="dxa"/>
              <w:left w:w="110" w:type="dxa"/>
              <w:bottom w:w="90" w:type="dxa"/>
              <w:right w:w="110" w:type="dxa"/>
            </w:tcMar>
            <w:vAlign w:val="center"/>
          </w:tcPr>
          <w:p w14:paraId="69F66D4A">
            <w:pPr>
              <w:spacing w:before="0" w:after="0" w:line="269" w:lineRule="auto"/>
              <w:ind w:firstLine="0"/>
            </w:pPr>
            <w:r>
              <w:rPr>
                <w:sz w:val="16"/>
              </w:rPr>
              <w:t>抽查发现冲突后有负责人和完成时限。</w:t>
            </w:r>
          </w:p>
        </w:tc>
      </w:tr>
    </w:tbl>
    <w:p w14:paraId="76B9B57E">
      <w:pPr>
        <w:spacing w:before="120" w:after="120"/>
      </w:pPr>
      <w:r>
        <w:rPr>
          <w:b/>
          <w:color w:val="000000"/>
        </w:rPr>
        <w:t>页面参考文案：预订页面使用工具6第2项“预订页面特别说明”，入口和前台标识使用工具6第1项，确保各渠道文案一致。</w:t>
      </w:r>
    </w:p>
    <w:p w14:paraId="4D74A5D3">
      <w:pPr>
        <w:pStyle w:val="5"/>
        <w:pageBreakBefore/>
      </w:pPr>
      <w:r>
        <w:t>工具3 普通住客提示卡</w:t>
      </w:r>
    </w:p>
    <w:p w14:paraId="0F0A5DA8">
      <w:pPr>
        <w:spacing w:before="120" w:after="120"/>
      </w:pPr>
      <w:r>
        <w:rPr>
          <w:b/>
          <w:color w:val="000000"/>
        </w:rPr>
        <w:t>提示卡文案：</w:t>
      </w:r>
      <w:r>
        <w:t>您可能会在酒店遇到佩戴导盲鞍、正在工作的导盲犬。请勿呼唤、抚摸、喂食、逗弄或阻挡它，也不要触碰牵引绳和导盲鞍。如您有过敏、恐惧或其他实际需要，请联系前台。酒店将根据双方需要调整座位、房间或动线，帮助不同住客安全、平等地使用公共空间。</w:t>
      </w:r>
    </w:p>
    <w:p w14:paraId="1BB7ACE2">
      <w:r>
        <w:t>投放位置以入口、前台、餐厅和公共区域为主，可常态展示或按门店实际情况使用。不在客房门口或整层房门悬挂提示，不以任何方式标示导盲犬使用者的房号、残障信息或活动路线。</w:t>
      </w:r>
    </w:p>
    <w:p w14:paraId="70700C13">
      <w:pPr/>
      <w:r>
        <w:t>文案不作零风险承诺，也不把依法接待写成需要向其他住客道歉的事项。工作人员只说明工作犬属性、相处方式和酒店可以提供的环境调整。</w:t>
      </w:r>
    </w:p>
    <w:p w14:paraId="158C3B07">
      <w:pPr>
        <w:pStyle w:val="5"/>
        <w:pageBreakBefore/>
      </w:pPr>
      <w:r>
        <w:t>工具4 客房合理便利清单</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3969"/>
        <w:gridCol w:w="3005"/>
      </w:tblGrid>
      <w:tr w14:paraId="6C44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04" w:type="dxa"/>
            <w:shd w:val="clear" w:color="auto" w:fill="DDEBF7"/>
            <w:tcMar>
              <w:top w:w="90" w:type="dxa"/>
              <w:left w:w="110" w:type="dxa"/>
              <w:bottom w:w="90" w:type="dxa"/>
              <w:right w:w="110" w:type="dxa"/>
            </w:tcMar>
            <w:vAlign w:val="center"/>
          </w:tcPr>
          <w:p w14:paraId="3FC1346A">
            <w:pPr>
              <w:keepNext/>
              <w:spacing w:before="0" w:after="0" w:line="269" w:lineRule="auto"/>
              <w:ind w:firstLine="0"/>
            </w:pPr>
            <w:r>
              <w:rPr>
                <w:b/>
                <w:color w:val="17365D"/>
                <w:sz w:val="16"/>
              </w:rPr>
              <w:t>时点</w:t>
            </w:r>
          </w:p>
        </w:tc>
        <w:tc>
          <w:tcPr>
            <w:tcW w:w="3969" w:type="dxa"/>
            <w:shd w:val="clear" w:color="auto" w:fill="DDEBF7"/>
            <w:tcMar>
              <w:top w:w="90" w:type="dxa"/>
              <w:left w:w="110" w:type="dxa"/>
              <w:bottom w:w="90" w:type="dxa"/>
              <w:right w:w="110" w:type="dxa"/>
            </w:tcMar>
            <w:vAlign w:val="center"/>
          </w:tcPr>
          <w:p w14:paraId="72049B2D">
            <w:pPr>
              <w:keepNext/>
              <w:spacing w:before="0" w:after="0" w:line="269" w:lineRule="auto"/>
              <w:ind w:firstLine="0"/>
            </w:pPr>
            <w:r>
              <w:rPr>
                <w:b/>
                <w:color w:val="17365D"/>
                <w:sz w:val="16"/>
              </w:rPr>
              <w:t>可提供的便利</w:t>
            </w:r>
          </w:p>
        </w:tc>
        <w:tc>
          <w:tcPr>
            <w:tcW w:w="3005" w:type="dxa"/>
            <w:shd w:val="clear" w:color="auto" w:fill="DDEBF7"/>
            <w:tcMar>
              <w:top w:w="90" w:type="dxa"/>
              <w:left w:w="110" w:type="dxa"/>
              <w:bottom w:w="90" w:type="dxa"/>
              <w:right w:w="110" w:type="dxa"/>
            </w:tcMar>
            <w:vAlign w:val="center"/>
          </w:tcPr>
          <w:p w14:paraId="35C1F0EE">
            <w:pPr>
              <w:keepNext/>
              <w:spacing w:before="0" w:after="0" w:line="269" w:lineRule="auto"/>
              <w:ind w:firstLine="0"/>
            </w:pPr>
            <w:r>
              <w:rPr>
                <w:b/>
                <w:color w:val="17365D"/>
                <w:sz w:val="16"/>
              </w:rPr>
              <w:t>边界</w:t>
            </w:r>
          </w:p>
        </w:tc>
      </w:tr>
      <w:tr w14:paraId="24D5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1F562738">
            <w:pPr>
              <w:spacing w:before="0" w:after="0" w:line="269" w:lineRule="auto"/>
              <w:ind w:firstLine="0"/>
            </w:pPr>
            <w:r>
              <w:rPr>
                <w:sz w:val="16"/>
              </w:rPr>
              <w:t>抵店前</w:t>
            </w:r>
          </w:p>
        </w:tc>
        <w:tc>
          <w:tcPr>
            <w:tcW w:w="3969" w:type="dxa"/>
            <w:tcMar>
              <w:top w:w="90" w:type="dxa"/>
              <w:left w:w="110" w:type="dxa"/>
              <w:bottom w:w="90" w:type="dxa"/>
              <w:right w:w="110" w:type="dxa"/>
            </w:tcMar>
            <w:vAlign w:val="center"/>
          </w:tcPr>
          <w:p w14:paraId="472B63CA">
            <w:pPr>
              <w:spacing w:before="0" w:after="0" w:line="269" w:lineRule="auto"/>
              <w:ind w:firstLine="0"/>
            </w:pPr>
            <w:r>
              <w:rPr>
                <w:sz w:val="16"/>
              </w:rPr>
              <w:t>确认到店时间、房型和住客主动提出的协助需求。</w:t>
            </w:r>
          </w:p>
        </w:tc>
        <w:tc>
          <w:tcPr>
            <w:tcW w:w="3005" w:type="dxa"/>
            <w:tcMar>
              <w:top w:w="90" w:type="dxa"/>
              <w:left w:w="110" w:type="dxa"/>
              <w:bottom w:w="90" w:type="dxa"/>
              <w:right w:w="110" w:type="dxa"/>
            </w:tcMar>
            <w:vAlign w:val="center"/>
          </w:tcPr>
          <w:p w14:paraId="66A00B0E">
            <w:pPr>
              <w:spacing w:before="0" w:after="0" w:line="269" w:lineRule="auto"/>
              <w:ind w:firstLine="0"/>
            </w:pPr>
            <w:r>
              <w:rPr>
                <w:sz w:val="16"/>
              </w:rPr>
              <w:t>不把提前报备变成拒绝或加价条件。</w:t>
            </w:r>
          </w:p>
        </w:tc>
      </w:tr>
      <w:tr w14:paraId="601B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1C7972EC">
            <w:pPr>
              <w:spacing w:before="0" w:after="0" w:line="269" w:lineRule="auto"/>
              <w:ind w:firstLine="0"/>
            </w:pPr>
            <w:r>
              <w:rPr>
                <w:sz w:val="16"/>
              </w:rPr>
              <w:t>办理入住</w:t>
            </w:r>
          </w:p>
        </w:tc>
        <w:tc>
          <w:tcPr>
            <w:tcW w:w="3969" w:type="dxa"/>
            <w:shd w:val="clear" w:color="auto" w:fill="F3F7FA"/>
            <w:tcMar>
              <w:top w:w="90" w:type="dxa"/>
              <w:left w:w="110" w:type="dxa"/>
              <w:bottom w:w="90" w:type="dxa"/>
              <w:right w:w="110" w:type="dxa"/>
            </w:tcMar>
            <w:vAlign w:val="center"/>
          </w:tcPr>
          <w:p w14:paraId="7A3A847F">
            <w:pPr>
              <w:spacing w:before="0" w:after="0" w:line="269" w:lineRule="auto"/>
              <w:ind w:firstLine="0"/>
            </w:pPr>
            <w:r>
              <w:rPr>
                <w:sz w:val="16"/>
              </w:rPr>
              <w:t>按需介绍前台至电梯、房间方向、客房布局、开关和卫生间设施。</w:t>
            </w:r>
          </w:p>
        </w:tc>
        <w:tc>
          <w:tcPr>
            <w:tcW w:w="3005" w:type="dxa"/>
            <w:shd w:val="clear" w:color="auto" w:fill="F3F7FA"/>
            <w:tcMar>
              <w:top w:w="90" w:type="dxa"/>
              <w:left w:w="110" w:type="dxa"/>
              <w:bottom w:w="90" w:type="dxa"/>
              <w:right w:w="110" w:type="dxa"/>
            </w:tcMar>
            <w:vAlign w:val="center"/>
          </w:tcPr>
          <w:p w14:paraId="31FA0841">
            <w:pPr>
              <w:spacing w:before="0" w:after="0" w:line="269" w:lineRule="auto"/>
              <w:ind w:firstLine="0"/>
            </w:pPr>
            <w:r>
              <w:rPr>
                <w:sz w:val="16"/>
              </w:rPr>
              <w:t>先询问引导方式，不预设住客无法独立行动。</w:t>
            </w:r>
          </w:p>
        </w:tc>
      </w:tr>
      <w:tr w14:paraId="5601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18126C8B">
            <w:pPr>
              <w:spacing w:before="0" w:after="0" w:line="269" w:lineRule="auto"/>
              <w:ind w:firstLine="0"/>
            </w:pPr>
            <w:r>
              <w:rPr>
                <w:sz w:val="16"/>
              </w:rPr>
              <w:t>客房安排</w:t>
            </w:r>
          </w:p>
        </w:tc>
        <w:tc>
          <w:tcPr>
            <w:tcW w:w="3969" w:type="dxa"/>
            <w:tcMar>
              <w:top w:w="90" w:type="dxa"/>
              <w:left w:w="110" w:type="dxa"/>
              <w:bottom w:w="90" w:type="dxa"/>
              <w:right w:w="110" w:type="dxa"/>
            </w:tcMar>
            <w:vAlign w:val="center"/>
          </w:tcPr>
          <w:p w14:paraId="15DAC553">
            <w:pPr>
              <w:spacing w:before="0" w:after="0" w:line="269" w:lineRule="auto"/>
              <w:ind w:firstLine="0"/>
            </w:pPr>
            <w:r>
              <w:rPr>
                <w:sz w:val="16"/>
              </w:rPr>
              <w:t>按订单正常排房；住客同意时，可提供靠近电梯或出入方便的房间。</w:t>
            </w:r>
          </w:p>
        </w:tc>
        <w:tc>
          <w:tcPr>
            <w:tcW w:w="3005" w:type="dxa"/>
            <w:tcMar>
              <w:top w:w="90" w:type="dxa"/>
              <w:left w:w="110" w:type="dxa"/>
              <w:bottom w:w="90" w:type="dxa"/>
              <w:right w:w="110" w:type="dxa"/>
            </w:tcMar>
            <w:vAlign w:val="center"/>
          </w:tcPr>
          <w:p w14:paraId="04D0B6CE">
            <w:pPr>
              <w:spacing w:before="0" w:after="0" w:line="269" w:lineRule="auto"/>
              <w:ind w:firstLine="0"/>
            </w:pPr>
            <w:r>
              <w:rPr>
                <w:sz w:val="16"/>
              </w:rPr>
              <w:t>不安排隔离性、边缘或更高价房型。</w:t>
            </w:r>
          </w:p>
        </w:tc>
      </w:tr>
      <w:tr w14:paraId="713C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1A263B1E">
            <w:pPr>
              <w:spacing w:before="0" w:after="0" w:line="269" w:lineRule="auto"/>
              <w:ind w:firstLine="0"/>
            </w:pPr>
            <w:r>
              <w:rPr>
                <w:sz w:val="16"/>
              </w:rPr>
              <w:t>犬只需求</w:t>
            </w:r>
          </w:p>
        </w:tc>
        <w:tc>
          <w:tcPr>
            <w:tcW w:w="3969" w:type="dxa"/>
            <w:shd w:val="clear" w:color="auto" w:fill="F3F7FA"/>
            <w:tcMar>
              <w:top w:w="90" w:type="dxa"/>
              <w:left w:w="110" w:type="dxa"/>
              <w:bottom w:w="90" w:type="dxa"/>
              <w:right w:w="110" w:type="dxa"/>
            </w:tcMar>
            <w:vAlign w:val="center"/>
          </w:tcPr>
          <w:p w14:paraId="47B6A0A0">
            <w:pPr>
              <w:spacing w:before="0" w:after="0" w:line="269" w:lineRule="auto"/>
              <w:ind w:firstLine="0"/>
            </w:pPr>
            <w:r>
              <w:rPr>
                <w:sz w:val="16"/>
              </w:rPr>
              <w:t>告知附近安全活动或排泄区域；住客需要时，可提供水盆、拾便袋等备用物品。</w:t>
            </w:r>
          </w:p>
        </w:tc>
        <w:tc>
          <w:tcPr>
            <w:tcW w:w="3005" w:type="dxa"/>
            <w:shd w:val="clear" w:color="auto" w:fill="F3F7FA"/>
            <w:tcMar>
              <w:top w:w="90" w:type="dxa"/>
              <w:left w:w="110" w:type="dxa"/>
              <w:bottom w:w="90" w:type="dxa"/>
              <w:right w:w="110" w:type="dxa"/>
            </w:tcMar>
            <w:vAlign w:val="center"/>
          </w:tcPr>
          <w:p w14:paraId="443CF2D7">
            <w:pPr>
              <w:spacing w:before="0" w:after="0" w:line="269" w:lineRule="auto"/>
              <w:ind w:firstLine="0"/>
            </w:pPr>
            <w:r>
              <w:rPr>
                <w:sz w:val="16"/>
              </w:rPr>
              <w:t>用品是可选支持，不作为接纳条件，也不额外收费。</w:t>
            </w:r>
          </w:p>
        </w:tc>
      </w:tr>
      <w:tr w14:paraId="74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4BF64072">
            <w:pPr>
              <w:spacing w:before="0" w:after="0" w:line="269" w:lineRule="auto"/>
              <w:ind w:firstLine="0"/>
            </w:pPr>
            <w:r>
              <w:rPr>
                <w:sz w:val="16"/>
              </w:rPr>
              <w:t>保洁与损坏</w:t>
            </w:r>
          </w:p>
        </w:tc>
        <w:tc>
          <w:tcPr>
            <w:tcW w:w="3969" w:type="dxa"/>
            <w:tcMar>
              <w:top w:w="90" w:type="dxa"/>
              <w:left w:w="110" w:type="dxa"/>
              <w:bottom w:w="90" w:type="dxa"/>
              <w:right w:w="110" w:type="dxa"/>
            </w:tcMar>
            <w:vAlign w:val="center"/>
          </w:tcPr>
          <w:p w14:paraId="41134488">
            <w:pPr>
              <w:spacing w:before="0" w:after="0" w:line="269" w:lineRule="auto"/>
              <w:ind w:firstLine="0"/>
            </w:pPr>
            <w:r>
              <w:rPr>
                <w:sz w:val="16"/>
              </w:rPr>
              <w:t>按普通客房标准清洁；如发生实际损坏，按统一、可说明的住客规则处理。</w:t>
            </w:r>
          </w:p>
        </w:tc>
        <w:tc>
          <w:tcPr>
            <w:tcW w:w="3005" w:type="dxa"/>
            <w:tcMar>
              <w:top w:w="90" w:type="dxa"/>
              <w:left w:w="110" w:type="dxa"/>
              <w:bottom w:w="90" w:type="dxa"/>
              <w:right w:w="110" w:type="dxa"/>
            </w:tcMar>
            <w:vAlign w:val="center"/>
          </w:tcPr>
          <w:p w14:paraId="1B38FD8F">
            <w:pPr>
              <w:spacing w:before="0" w:after="0" w:line="269" w:lineRule="auto"/>
              <w:ind w:firstLine="0"/>
            </w:pPr>
            <w:r>
              <w:rPr>
                <w:sz w:val="16"/>
              </w:rPr>
              <w:t>不预收服务犬专属押金或清洁费。</w:t>
            </w:r>
          </w:p>
        </w:tc>
      </w:tr>
      <w:tr w14:paraId="00E1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3FB3E975">
            <w:pPr>
              <w:spacing w:before="0" w:after="0" w:line="269" w:lineRule="auto"/>
              <w:ind w:firstLine="0"/>
            </w:pPr>
            <w:r>
              <w:rPr>
                <w:sz w:val="16"/>
              </w:rPr>
              <w:t>应急信息</w:t>
            </w:r>
          </w:p>
        </w:tc>
        <w:tc>
          <w:tcPr>
            <w:tcW w:w="3969" w:type="dxa"/>
            <w:shd w:val="clear" w:color="auto" w:fill="F3F7FA"/>
            <w:tcMar>
              <w:top w:w="90" w:type="dxa"/>
              <w:left w:w="110" w:type="dxa"/>
              <w:bottom w:w="90" w:type="dxa"/>
              <w:right w:w="110" w:type="dxa"/>
            </w:tcMar>
            <w:vAlign w:val="center"/>
          </w:tcPr>
          <w:p w14:paraId="740FF68E">
            <w:pPr>
              <w:spacing w:before="0" w:after="0" w:line="269" w:lineRule="auto"/>
              <w:ind w:firstLine="0"/>
            </w:pPr>
            <w:r>
              <w:rPr>
                <w:sz w:val="16"/>
              </w:rPr>
              <w:t>说明消防疏散、紧急呼叫和夜间联系渠道；住客提出时安排人员协助。</w:t>
            </w:r>
          </w:p>
        </w:tc>
        <w:tc>
          <w:tcPr>
            <w:tcW w:w="3005" w:type="dxa"/>
            <w:shd w:val="clear" w:color="auto" w:fill="F3F7FA"/>
            <w:tcMar>
              <w:top w:w="90" w:type="dxa"/>
              <w:left w:w="110" w:type="dxa"/>
              <w:bottom w:w="90" w:type="dxa"/>
              <w:right w:w="110" w:type="dxa"/>
            </w:tcMar>
            <w:vAlign w:val="center"/>
          </w:tcPr>
          <w:p w14:paraId="2372A99D">
            <w:pPr>
              <w:spacing w:before="0" w:after="0" w:line="269" w:lineRule="auto"/>
              <w:ind w:firstLine="0"/>
            </w:pPr>
            <w:r>
              <w:rPr>
                <w:sz w:val="16"/>
              </w:rPr>
              <w:t>不公开房号或在系统添加与服务无关的标签。</w:t>
            </w:r>
          </w:p>
        </w:tc>
      </w:tr>
    </w:tbl>
    <w:p w14:paraId="6B01B2A3">
      <w:pPr>
        <w:pStyle w:val="5"/>
        <w:pageBreakBefore/>
      </w:pPr>
      <w:r>
        <w:t>工具5 客诉处理流程</w:t>
      </w:r>
    </w:p>
    <w:p w14:paraId="3B2F16AB">
      <w:pPr>
        <w:spacing w:before="120" w:after="120"/>
      </w:pPr>
      <w:r>
        <w:rPr>
          <w:rFonts w:hint="eastAsia"/>
          <w:b/>
          <w:color w:val="000000"/>
        </w:rPr>
        <w:t>处理顺序：询问双方具体需要；保障导盲犬使用者继续通行和使用服务；协商座位、房间、楼层或动线调整；必要时转交值班经理；记录实际问题和后续处理。</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4139"/>
        <w:gridCol w:w="2778"/>
      </w:tblGrid>
      <w:tr w14:paraId="4BFE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61" w:type="dxa"/>
            <w:shd w:val="clear" w:color="auto" w:fill="DDEBF7"/>
            <w:tcMar>
              <w:top w:w="90" w:type="dxa"/>
              <w:left w:w="110" w:type="dxa"/>
              <w:bottom w:w="90" w:type="dxa"/>
              <w:right w:w="110" w:type="dxa"/>
            </w:tcMar>
            <w:vAlign w:val="center"/>
          </w:tcPr>
          <w:p w14:paraId="18858274">
            <w:pPr>
              <w:keepNext/>
              <w:spacing w:before="0" w:after="0" w:line="269" w:lineRule="auto"/>
              <w:ind w:firstLine="0"/>
            </w:pPr>
            <w:r>
              <w:rPr>
                <w:b/>
                <w:color w:val="17365D"/>
                <w:sz w:val="16"/>
              </w:rPr>
              <w:t>场景</w:t>
            </w:r>
          </w:p>
        </w:tc>
        <w:tc>
          <w:tcPr>
            <w:tcW w:w="4139" w:type="dxa"/>
            <w:shd w:val="clear" w:color="auto" w:fill="DDEBF7"/>
            <w:tcMar>
              <w:top w:w="90" w:type="dxa"/>
              <w:left w:w="110" w:type="dxa"/>
              <w:bottom w:w="90" w:type="dxa"/>
              <w:right w:w="110" w:type="dxa"/>
            </w:tcMar>
            <w:vAlign w:val="center"/>
          </w:tcPr>
          <w:p w14:paraId="54EA57EF">
            <w:pPr>
              <w:keepNext/>
              <w:spacing w:before="0" w:after="0" w:line="269" w:lineRule="auto"/>
              <w:ind w:firstLine="0"/>
            </w:pPr>
            <w:r>
              <w:rPr>
                <w:b/>
                <w:color w:val="17365D"/>
                <w:sz w:val="16"/>
              </w:rPr>
              <w:t>处理要点</w:t>
            </w:r>
          </w:p>
        </w:tc>
        <w:tc>
          <w:tcPr>
            <w:tcW w:w="2778" w:type="dxa"/>
            <w:shd w:val="clear" w:color="auto" w:fill="DDEBF7"/>
            <w:tcMar>
              <w:top w:w="90" w:type="dxa"/>
              <w:left w:w="110" w:type="dxa"/>
              <w:bottom w:w="90" w:type="dxa"/>
              <w:right w:w="110" w:type="dxa"/>
            </w:tcMar>
            <w:vAlign w:val="center"/>
          </w:tcPr>
          <w:p w14:paraId="3D3C43B7">
            <w:pPr>
              <w:keepNext/>
              <w:spacing w:before="0" w:after="0" w:line="269" w:lineRule="auto"/>
              <w:ind w:firstLine="0"/>
            </w:pPr>
            <w:r>
              <w:rPr>
                <w:b/>
                <w:color w:val="17365D"/>
                <w:sz w:val="16"/>
              </w:rPr>
              <w:t>避免</w:t>
            </w:r>
          </w:p>
        </w:tc>
      </w:tr>
      <w:tr w14:paraId="7A7A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tcMar>
              <w:top w:w="90" w:type="dxa"/>
              <w:left w:w="110" w:type="dxa"/>
              <w:bottom w:w="90" w:type="dxa"/>
              <w:right w:w="110" w:type="dxa"/>
            </w:tcMar>
            <w:vAlign w:val="center"/>
          </w:tcPr>
          <w:p w14:paraId="02450032">
            <w:pPr>
              <w:spacing w:before="0" w:after="0" w:line="269" w:lineRule="auto"/>
              <w:ind w:firstLine="0"/>
            </w:pPr>
            <w:r>
              <w:rPr>
                <w:sz w:val="16"/>
              </w:rPr>
              <w:t>恐惧或一般疑虑</w:t>
            </w:r>
          </w:p>
        </w:tc>
        <w:tc>
          <w:tcPr>
            <w:tcW w:w="4139" w:type="dxa"/>
            <w:tcMar>
              <w:top w:w="90" w:type="dxa"/>
              <w:left w:w="110" w:type="dxa"/>
              <w:bottom w:w="90" w:type="dxa"/>
              <w:right w:w="110" w:type="dxa"/>
            </w:tcMar>
            <w:vAlign w:val="center"/>
          </w:tcPr>
          <w:p w14:paraId="2C2542A6">
            <w:pPr>
              <w:spacing w:before="0" w:after="0" w:line="269" w:lineRule="auto"/>
              <w:ind w:firstLine="0"/>
            </w:pPr>
            <w:r>
              <w:rPr>
                <w:sz w:val="16"/>
              </w:rPr>
              <w:t>说明导盲犬正在工作和相处原则；向提出需求的住客提供距离、座位或动线调整。</w:t>
            </w:r>
          </w:p>
        </w:tc>
        <w:tc>
          <w:tcPr>
            <w:tcW w:w="2778" w:type="dxa"/>
            <w:tcMar>
              <w:top w:w="90" w:type="dxa"/>
              <w:left w:w="110" w:type="dxa"/>
              <w:bottom w:w="90" w:type="dxa"/>
              <w:right w:w="110" w:type="dxa"/>
            </w:tcMar>
            <w:vAlign w:val="center"/>
          </w:tcPr>
          <w:p w14:paraId="2C7AB4E6">
            <w:pPr>
              <w:spacing w:before="0" w:after="0" w:line="269" w:lineRule="auto"/>
              <w:ind w:firstLine="0"/>
            </w:pPr>
            <w:r>
              <w:rPr>
                <w:sz w:val="16"/>
              </w:rPr>
              <w:t xml:space="preserve">要求导盲犬使用者回房、离场或自行说服其他</w:t>
            </w:r>
            <w:r>
              <w:rPr>
                <w:sz w:val="16"/>
              </w:rPr>
              <w:t xml:space="preserve">住客</w:t>
            </w:r>
            <w:r>
              <w:rPr>
                <w:sz w:val="16"/>
              </w:rPr>
              <w:t xml:space="preserve">。</w:t>
            </w:r>
          </w:p>
        </w:tc>
      </w:tr>
      <w:tr w14:paraId="20D3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shd w:val="clear" w:color="auto" w:fill="F3F7FA"/>
            <w:tcMar>
              <w:top w:w="90" w:type="dxa"/>
              <w:left w:w="110" w:type="dxa"/>
              <w:bottom w:w="90" w:type="dxa"/>
              <w:right w:w="110" w:type="dxa"/>
            </w:tcMar>
            <w:vAlign w:val="center"/>
          </w:tcPr>
          <w:p w14:paraId="4BF8EA21">
            <w:pPr>
              <w:spacing w:before="0" w:after="0" w:line="269" w:lineRule="auto"/>
              <w:ind w:firstLine="0"/>
            </w:pPr>
            <w:r>
              <w:rPr>
                <w:sz w:val="16"/>
              </w:rPr>
              <w:t>过敏等健康需求</w:t>
            </w:r>
          </w:p>
        </w:tc>
        <w:tc>
          <w:tcPr>
            <w:tcW w:w="4139" w:type="dxa"/>
            <w:shd w:val="clear" w:color="auto" w:fill="F3F7FA"/>
            <w:tcMar>
              <w:top w:w="90" w:type="dxa"/>
              <w:left w:w="110" w:type="dxa"/>
              <w:bottom w:w="90" w:type="dxa"/>
              <w:right w:w="110" w:type="dxa"/>
            </w:tcMar>
            <w:vAlign w:val="center"/>
          </w:tcPr>
          <w:p w14:paraId="273AC6F0">
            <w:pPr>
              <w:spacing w:before="0" w:after="0" w:line="269" w:lineRule="auto"/>
              <w:ind w:firstLine="0"/>
            </w:pPr>
            <w:r>
              <w:rPr>
                <w:sz w:val="16"/>
              </w:rPr>
              <w:t>了解影响范围和紧迫程度；通过房间、座位、通风、清洁或空气净化等方式降低接触。</w:t>
            </w:r>
          </w:p>
        </w:tc>
        <w:tc>
          <w:tcPr>
            <w:tcW w:w="2778" w:type="dxa"/>
            <w:shd w:val="clear" w:color="auto" w:fill="F3F7FA"/>
            <w:tcMar>
              <w:top w:w="90" w:type="dxa"/>
              <w:left w:w="110" w:type="dxa"/>
              <w:bottom w:w="90" w:type="dxa"/>
              <w:right w:w="110" w:type="dxa"/>
            </w:tcMar>
            <w:vAlign w:val="center"/>
          </w:tcPr>
          <w:p w14:paraId="14EE9B97">
            <w:pPr>
              <w:spacing w:before="0" w:after="0" w:line="269" w:lineRule="auto"/>
              <w:ind w:firstLine="0"/>
            </w:pPr>
            <w:r>
              <w:rPr>
                <w:sz w:val="16"/>
              </w:rPr>
              <w:t>未经核实便把一方需求置于另一方之上。</w:t>
            </w:r>
          </w:p>
        </w:tc>
      </w:tr>
      <w:tr w14:paraId="6B7F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tcMar>
              <w:top w:w="90" w:type="dxa"/>
              <w:left w:w="110" w:type="dxa"/>
              <w:bottom w:w="90" w:type="dxa"/>
              <w:right w:w="110" w:type="dxa"/>
            </w:tcMar>
            <w:vAlign w:val="center"/>
          </w:tcPr>
          <w:p w14:paraId="71700E15">
            <w:pPr>
              <w:spacing w:before="0" w:after="0" w:line="269" w:lineRule="auto"/>
              <w:ind w:firstLine="0"/>
            </w:pPr>
            <w:r>
              <w:rPr>
                <w:sz w:val="16"/>
              </w:rPr>
              <w:t>卫生或设施事件</w:t>
            </w:r>
          </w:p>
        </w:tc>
        <w:tc>
          <w:tcPr>
            <w:tcW w:w="4139" w:type="dxa"/>
            <w:tcMar>
              <w:top w:w="90" w:type="dxa"/>
              <w:left w:w="110" w:type="dxa"/>
              <w:bottom w:w="90" w:type="dxa"/>
              <w:right w:w="110" w:type="dxa"/>
            </w:tcMar>
            <w:vAlign w:val="center"/>
          </w:tcPr>
          <w:p w14:paraId="72D93ED3">
            <w:pPr>
              <w:spacing w:before="0" w:after="0" w:line="269" w:lineRule="auto"/>
              <w:ind w:firstLine="0"/>
            </w:pPr>
            <w:r>
              <w:rPr>
                <w:sz w:val="16"/>
              </w:rPr>
              <w:t>处理已经发生的具体问题，记录地点、事实和实际损失，适用统一规则。</w:t>
            </w:r>
          </w:p>
        </w:tc>
        <w:tc>
          <w:tcPr>
            <w:tcW w:w="2778" w:type="dxa"/>
            <w:tcMar>
              <w:top w:w="90" w:type="dxa"/>
              <w:left w:w="110" w:type="dxa"/>
              <w:bottom w:w="90" w:type="dxa"/>
              <w:right w:w="110" w:type="dxa"/>
            </w:tcMar>
            <w:vAlign w:val="center"/>
          </w:tcPr>
          <w:p w14:paraId="134C26F5">
            <w:pPr>
              <w:spacing w:before="0" w:after="0" w:line="269" w:lineRule="auto"/>
              <w:ind w:firstLine="0"/>
            </w:pPr>
            <w:r>
              <w:rPr>
                <w:sz w:val="16"/>
              </w:rPr>
              <w:t>因想象中的风险预先收费、隔离或拒绝。</w:t>
            </w:r>
          </w:p>
        </w:tc>
      </w:tr>
      <w:tr w14:paraId="1C21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shd w:val="clear" w:color="auto" w:fill="F3F7FA"/>
            <w:tcMar>
              <w:top w:w="90" w:type="dxa"/>
              <w:left w:w="110" w:type="dxa"/>
              <w:bottom w:w="90" w:type="dxa"/>
              <w:right w:w="110" w:type="dxa"/>
            </w:tcMar>
            <w:vAlign w:val="center"/>
          </w:tcPr>
          <w:p w14:paraId="09EEA0A3">
            <w:pPr>
              <w:spacing w:before="0" w:after="0" w:line="269" w:lineRule="auto"/>
              <w:ind w:firstLine="0"/>
            </w:pPr>
            <w:r>
              <w:rPr>
                <w:sz w:val="16"/>
              </w:rPr>
              <w:t>总部客诉或门店争议</w:t>
            </w:r>
          </w:p>
        </w:tc>
        <w:tc>
          <w:tcPr>
            <w:tcW w:w="4139" w:type="dxa"/>
            <w:shd w:val="clear" w:color="auto" w:fill="F3F7FA"/>
            <w:tcMar>
              <w:top w:w="90" w:type="dxa"/>
              <w:left w:w="110" w:type="dxa"/>
              <w:bottom w:w="90" w:type="dxa"/>
              <w:right w:w="110" w:type="dxa"/>
            </w:tcMar>
            <w:vAlign w:val="center"/>
          </w:tcPr>
          <w:p w14:paraId="22953B99">
            <w:pPr>
              <w:spacing w:before="0" w:after="0" w:line="269" w:lineRule="auto"/>
              <w:ind w:firstLine="0"/>
            </w:pPr>
            <w:r>
              <w:rPr>
                <w:sz w:val="16"/>
              </w:rPr>
              <w:t>保留门店依据的政策版本和处理记录，交由集团复核；把规则冲突反馈给制度责任部门。</w:t>
            </w:r>
          </w:p>
        </w:tc>
        <w:tc>
          <w:tcPr>
            <w:tcW w:w="2778" w:type="dxa"/>
            <w:shd w:val="clear" w:color="auto" w:fill="F3F7FA"/>
            <w:tcMar>
              <w:top w:w="90" w:type="dxa"/>
              <w:left w:w="110" w:type="dxa"/>
              <w:bottom w:w="90" w:type="dxa"/>
              <w:right w:w="110" w:type="dxa"/>
            </w:tcMar>
            <w:vAlign w:val="center"/>
          </w:tcPr>
          <w:p w14:paraId="521C20C4">
            <w:pPr>
              <w:spacing w:before="0" w:after="0" w:line="269" w:lineRule="auto"/>
              <w:ind w:firstLine="0"/>
            </w:pPr>
            <w:r>
              <w:rPr>
                <w:sz w:val="16"/>
              </w:rPr>
              <w:t>让一线员工因依法接待而承担不清晰的内部处罚。</w:t>
            </w:r>
          </w:p>
        </w:tc>
      </w:tr>
    </w:tbl>
    <w:p w14:paraId="5B3F7945">
      <w:pPr>
        <w:pStyle w:val="5"/>
        <w:pageBreakBefore/>
      </w:pPr>
      <w:r>
        <w:t>工具6 可印制物料文案与制作说明</w:t>
      </w:r>
    </w:p>
    <w:p w14:paraId="2D1C211D">
      <w:pPr>
        <w:pStyle w:val="6"/>
      </w:pPr>
      <w:r>
        <w:t>1. 入口和前台标识</w:t>
      </w:r>
    </w:p>
    <w:p w14:paraId="2B2F0F3B">
      <w:pPr>
        <w:pStyle w:val="186"/>
      </w:pPr>
      <w:r>
        <w:t>本酒店依法为残疾人携带导盲犬等服务犬提供便利。服务犬不适用普通宠物政策。需要协助或希望了解核验要求，请联系前台。</w:t>
      </w:r>
    </w:p>
    <w:p w14:paraId="47681F07">
      <w:pPr>
        <w:pStyle w:val="6"/>
      </w:pPr>
      <w:r>
        <w:t>2. 预订页面特别说明</w:t>
      </w:r>
    </w:p>
    <w:p w14:paraId="007B2C29">
      <w:pPr>
        <w:pStyle w:val="186"/>
      </w:pPr>
      <w:r>
        <w:t>导盲犬使用者可依法携犬入住。酒店按照适用规定核验必要材料，不收取服务犬附加清洁费或宠物押金。需要确认到店协助时，可通过页面所示渠道联系前台。</w:t>
      </w:r>
    </w:p>
    <w:p w14:paraId="1059C17E">
      <w:pPr>
        <w:pStyle w:val="6"/>
      </w:pPr>
      <w:r>
        <w:t>3. 前台屏幕提示</w:t>
      </w:r>
    </w:p>
    <w:p w14:paraId="5E60B2C6">
      <w:pPr>
        <w:pStyle w:val="186"/>
      </w:pPr>
      <w:r>
        <w:t>先查政策、后答复；需要确认时，由首次接听人发起内部查询并按时回访。正常收费、正常排房、按需协助。</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6746"/>
      </w:tblGrid>
      <w:tr w14:paraId="5A62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31" w:type="dxa"/>
            <w:shd w:val="clear" w:color="auto" w:fill="DDEBF7"/>
            <w:tcMar>
              <w:top w:w="90" w:type="dxa"/>
              <w:left w:w="110" w:type="dxa"/>
              <w:bottom w:w="90" w:type="dxa"/>
              <w:right w:w="110" w:type="dxa"/>
            </w:tcMar>
            <w:vAlign w:val="center"/>
          </w:tcPr>
          <w:p w14:paraId="3EB73D85">
            <w:pPr>
              <w:keepNext/>
              <w:spacing w:before="0" w:after="0" w:line="269" w:lineRule="auto"/>
              <w:ind w:firstLine="0"/>
            </w:pPr>
            <w:r>
              <w:rPr>
                <w:b/>
                <w:color w:val="17365D"/>
                <w:sz w:val="16"/>
              </w:rPr>
              <w:t>制作项目</w:t>
            </w:r>
          </w:p>
        </w:tc>
        <w:tc>
          <w:tcPr>
            <w:tcW w:w="6746" w:type="dxa"/>
            <w:shd w:val="clear" w:color="auto" w:fill="DDEBF7"/>
            <w:tcMar>
              <w:top w:w="90" w:type="dxa"/>
              <w:left w:w="110" w:type="dxa"/>
              <w:bottom w:w="90" w:type="dxa"/>
              <w:right w:w="110" w:type="dxa"/>
            </w:tcMar>
            <w:vAlign w:val="center"/>
          </w:tcPr>
          <w:p w14:paraId="16BFE28C">
            <w:pPr>
              <w:keepNext/>
              <w:spacing w:before="0" w:after="0" w:line="269" w:lineRule="auto"/>
              <w:ind w:firstLine="0"/>
            </w:pPr>
            <w:r>
              <w:rPr>
                <w:b/>
                <w:color w:val="17365D"/>
                <w:sz w:val="16"/>
              </w:rPr>
              <w:t>建议规格</w:t>
            </w:r>
          </w:p>
        </w:tc>
      </w:tr>
      <w:tr w14:paraId="598B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1CC8C49A">
            <w:pPr>
              <w:spacing w:before="0" w:after="0" w:line="269" w:lineRule="auto"/>
              <w:ind w:firstLine="0"/>
            </w:pPr>
            <w:r>
              <w:rPr>
                <w:sz w:val="16"/>
              </w:rPr>
              <w:t>版式</w:t>
            </w:r>
          </w:p>
        </w:tc>
        <w:tc>
          <w:tcPr>
            <w:tcW w:w="6746" w:type="dxa"/>
            <w:tcMar>
              <w:top w:w="90" w:type="dxa"/>
              <w:left w:w="110" w:type="dxa"/>
              <w:bottom w:w="90" w:type="dxa"/>
              <w:right w:w="110" w:type="dxa"/>
            </w:tcMar>
            <w:vAlign w:val="center"/>
          </w:tcPr>
          <w:p w14:paraId="5D2B19D7">
            <w:pPr>
              <w:spacing w:before="0" w:after="0" w:line="269" w:lineRule="auto"/>
              <w:ind w:firstLine="0"/>
            </w:pPr>
            <w:r>
              <w:rPr>
                <w:sz w:val="16"/>
              </w:rPr>
              <w:t>优先A5台卡、A4告示或屏幕卡片；一句核心信息配3—5条行动提示。</w:t>
            </w:r>
          </w:p>
        </w:tc>
      </w:tr>
      <w:tr w14:paraId="4229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4D72A048">
            <w:pPr>
              <w:spacing w:before="0" w:after="0" w:line="269" w:lineRule="auto"/>
              <w:ind w:firstLine="0"/>
            </w:pPr>
            <w:r>
              <w:rPr>
                <w:sz w:val="16"/>
              </w:rPr>
              <w:t>可读性</w:t>
            </w:r>
          </w:p>
        </w:tc>
        <w:tc>
          <w:tcPr>
            <w:tcW w:w="6746" w:type="dxa"/>
            <w:shd w:val="clear" w:color="auto" w:fill="F3F7FA"/>
            <w:tcMar>
              <w:top w:w="90" w:type="dxa"/>
              <w:left w:w="110" w:type="dxa"/>
              <w:bottom w:w="90" w:type="dxa"/>
              <w:right w:w="110" w:type="dxa"/>
            </w:tcMar>
            <w:vAlign w:val="center"/>
          </w:tcPr>
          <w:p w14:paraId="417BB708">
            <w:pPr>
              <w:spacing w:before="0" w:after="0" w:line="269" w:lineRule="auto"/>
              <w:ind w:firstLine="0"/>
            </w:pPr>
            <w:r>
              <w:rPr>
                <w:sz w:val="16"/>
              </w:rPr>
              <w:t>正文印刷字号原则上不小于12磅，前台远距离标识应更大；文字与背景保持高对比度。</w:t>
            </w:r>
          </w:p>
        </w:tc>
      </w:tr>
      <w:tr w14:paraId="4EE9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50602401">
            <w:pPr>
              <w:spacing w:before="0" w:after="0" w:line="269" w:lineRule="auto"/>
              <w:ind w:firstLine="0"/>
            </w:pPr>
            <w:r>
              <w:rPr>
                <w:sz w:val="16"/>
              </w:rPr>
              <w:t>图形</w:t>
            </w:r>
          </w:p>
        </w:tc>
        <w:tc>
          <w:tcPr>
            <w:tcW w:w="6746" w:type="dxa"/>
            <w:tcMar>
              <w:top w:w="90" w:type="dxa"/>
              <w:left w:w="110" w:type="dxa"/>
              <w:bottom w:w="90" w:type="dxa"/>
              <w:right w:w="110" w:type="dxa"/>
            </w:tcMar>
            <w:vAlign w:val="center"/>
          </w:tcPr>
          <w:p w14:paraId="13521481">
            <w:pPr>
              <w:spacing w:before="0" w:after="0" w:line="269" w:lineRule="auto"/>
              <w:ind w:firstLine="0"/>
            </w:pPr>
            <w:r>
              <w:rPr>
                <w:sz w:val="16"/>
              </w:rPr>
              <w:t>图标必须配文字，不用图标单独承担政策含义；不使用普通宠物图标代替服务犬。</w:t>
            </w:r>
          </w:p>
        </w:tc>
      </w:tr>
      <w:tr w14:paraId="077B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6A167543">
            <w:pPr>
              <w:spacing w:before="0" w:after="0" w:line="269" w:lineRule="auto"/>
              <w:ind w:firstLine="0"/>
            </w:pPr>
            <w:r>
              <w:rPr>
                <w:sz w:val="16"/>
              </w:rPr>
              <w:t>数字无障碍</w:t>
            </w:r>
          </w:p>
        </w:tc>
        <w:tc>
          <w:tcPr>
            <w:tcW w:w="6746" w:type="dxa"/>
            <w:shd w:val="clear" w:color="auto" w:fill="F3F7FA"/>
            <w:tcMar>
              <w:top w:w="90" w:type="dxa"/>
              <w:left w:w="110" w:type="dxa"/>
              <w:bottom w:w="90" w:type="dxa"/>
              <w:right w:w="110" w:type="dxa"/>
            </w:tcMar>
            <w:vAlign w:val="center"/>
          </w:tcPr>
          <w:p w14:paraId="7A9D816C">
            <w:pPr>
              <w:spacing w:before="0" w:after="0" w:line="269" w:lineRule="auto"/>
              <w:ind w:firstLine="0"/>
            </w:pPr>
            <w:r>
              <w:rPr>
                <w:sz w:val="16"/>
              </w:rPr>
              <w:t>同步提供可复制文本；二维码只作补充，不作为唯一信息入口。图片发布时填写替代文字。</w:t>
            </w:r>
          </w:p>
        </w:tc>
      </w:tr>
      <w:tr w14:paraId="4C6C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181FE4D9">
            <w:pPr>
              <w:spacing w:before="0" w:after="0" w:line="269" w:lineRule="auto"/>
              <w:ind w:firstLine="0"/>
            </w:pPr>
            <w:r>
              <w:rPr>
                <w:sz w:val="16"/>
              </w:rPr>
              <w:t>版本控制</w:t>
            </w:r>
          </w:p>
        </w:tc>
        <w:tc>
          <w:tcPr>
            <w:tcW w:w="6746" w:type="dxa"/>
            <w:tcMar>
              <w:top w:w="90" w:type="dxa"/>
              <w:left w:w="110" w:type="dxa"/>
              <w:bottom w:w="90" w:type="dxa"/>
              <w:right w:w="110" w:type="dxa"/>
            </w:tcMar>
            <w:vAlign w:val="center"/>
          </w:tcPr>
          <w:p w14:paraId="1A9B21D1">
            <w:pPr>
              <w:spacing w:before="0" w:after="0" w:line="269" w:lineRule="auto"/>
              <w:ind w:firstLine="0"/>
            </w:pPr>
            <w:r>
              <w:rPr>
                <w:sz w:val="16"/>
              </w:rPr>
              <w:t>标注发布部门、生效日期和版本号；官网、平台、客服和门店物料同步更新。</w:t>
            </w:r>
          </w:p>
        </w:tc>
      </w:tr>
      <w:tr w14:paraId="428E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0C894086">
            <w:pPr>
              <w:spacing w:before="0" w:after="0" w:line="269" w:lineRule="auto"/>
              <w:ind w:firstLine="0"/>
            </w:pPr>
            <w:r>
              <w:rPr>
                <w:sz w:val="16"/>
              </w:rPr>
              <w:t>隐私</w:t>
            </w:r>
          </w:p>
        </w:tc>
        <w:tc>
          <w:tcPr>
            <w:tcW w:w="6746" w:type="dxa"/>
            <w:shd w:val="clear" w:color="auto" w:fill="F3F7FA"/>
            <w:tcMar>
              <w:top w:w="90" w:type="dxa"/>
              <w:left w:w="110" w:type="dxa"/>
              <w:bottom w:w="90" w:type="dxa"/>
              <w:right w:w="110" w:type="dxa"/>
            </w:tcMar>
            <w:vAlign w:val="center"/>
          </w:tcPr>
          <w:p w14:paraId="087D1B57">
            <w:pPr>
              <w:spacing w:before="0" w:after="0" w:line="269" w:lineRule="auto"/>
              <w:ind w:firstLine="0"/>
            </w:pPr>
            <w:r>
              <w:rPr>
                <w:sz w:val="16"/>
              </w:rPr>
              <w:t>物料只说明一般政策，不标示具体住客的房号、楼层、残障信息或活动安排。</w:t>
            </w:r>
          </w:p>
        </w:tc>
      </w:tr>
    </w:tbl>
    <w:p w14:paraId="56BDC849">
      <w:pPr>
        <w:pStyle w:val="4"/>
      </w:pPr>
      <w:bookmarkStart w:id="71" w:name="_Toc239432629"/>
      <w:bookmarkStart w:id="72" w:name="_Toc242417930"/>
      <w:r>
        <w:rPr>
          <w:rFonts w:ascii="Times New Roman" w:hAnsi="Times New Roman" w:eastAsia="黑体"/>
        </w:rPr>
        <w:t>七 后续研究方向</w:t>
      </w:r>
      <w:bookmarkEnd w:id="71"/>
      <w:bookmarkEnd w:id="72"/>
    </w:p>
    <w:p w14:paraId="49B96ADE">
      <w:pPr>
        <w:pStyle w:val="16"/>
        <w:spacing w:before="40" w:after="80" w:line="324" w:lineRule="auto"/>
      </w:pPr>
      <w:r>
        <w:t>通过真实预订和入住过程验证电话咨询结果。</w:t>
      </w:r>
    </w:p>
    <w:p w14:paraId="69459206">
      <w:pPr>
        <w:pStyle w:val="16"/>
        <w:spacing w:before="40" w:after="80" w:line="324" w:lineRule="auto"/>
      </w:pPr>
      <w:r>
        <w:t>扩大品牌、城市和酒店类型覆盖，并保持不同阶段样本口径一致。</w:t>
      </w:r>
    </w:p>
    <w:p w14:paraId="2CFFE60B">
      <w:pPr>
        <w:pStyle w:val="16"/>
        <w:spacing w:before="40" w:after="80" w:line="324" w:lineRule="auto"/>
      </w:pPr>
      <w:r>
        <w:t>跟踪酒店总部政策、平台标注和员工培训的实际改进效果。</w:t>
      </w:r>
    </w:p>
    <w:p>
      <w:pPr>
        <w:pStyle w:val="16"/>
        <w:spacing w:before="40" w:after="80" w:line="324" w:lineRule="auto"/>
        <w:rPr/>
      </w:pPr>
      <w:r>
        <w:t xml:space="preserve">回访2026年10月公开信息补充中页面标注与调研结果不一致的样本门店（如S38），核实实际接待情况，并核对S09、S11的门店身份。</w:t>
      </w:r>
    </w:p>
    <w:p w14:paraId="7029031E">
      <w:pPr>
        <w:pStyle w:val="16"/>
        <w:spacing w:before="40" w:after="80" w:line="324" w:lineRule="auto"/>
      </w:pPr>
      <w:r>
        <w:t>建立由导盲犬使用者和其他残障者共同参与的持续评估机制。</w:t>
      </w:r>
    </w:p>
    <w:p w14:paraId="69711C28">
      <w:pPr>
        <w:pStyle w:val="16"/>
        <w:spacing w:before="40" w:after="80" w:line="324" w:lineRule="auto"/>
      </w:pPr>
      <w:r>
        <w:t>利用通话录音测量通话时长和等待时间，补充沟通负担指标。</w:t>
      </w:r>
    </w:p>
    <w:p w14:paraId="47A57206">
      <w:pPr>
        <w:pStyle w:val="16"/>
        <w:spacing w:before="40" w:after="80" w:line="324" w:lineRule="auto"/>
      </w:pPr>
      <w:r>
        <w:t>按咨询者身份（本人或亲友代问）和调查批次拆分结果，检验身份和调查时间对门店回应的影响。</w:t>
      </w:r>
    </w:p>
    <w:p w14:paraId="17296823">
      <w:pPr>
        <w:pStyle w:val="16"/>
        <w:spacing w:before="40" w:after="80" w:line="324" w:lineRule="auto"/>
      </w:pPr>
      <w:r>
        <w:t>在同一时间回访第一批城市，并计算同城同品牌门店答复的一致性，衡量品牌内部差异。</w:t>
      </w:r>
    </w:p>
    <w:p w14:paraId="48AEE15E">
      <w:pPr>
        <w:pStyle w:val="16"/>
        <w:spacing w:before="40" w:after="80" w:line="324" w:lineRule="auto"/>
      </w:pPr>
      <w:r>
        <w:t>将担忧标签与最终结果交叉分析，检验不同担忧与拒绝、附带条件之间的关系。</w:t>
      </w:r>
    </w:p>
    <w:p w14:paraId="73476049">
      <w:pPr>
        <w:pStyle w:val="4"/>
        <w:pageBreakBefore/>
      </w:pPr>
      <w:bookmarkStart w:id="73" w:name="_Toc242417931"/>
      <w:bookmarkStart w:id="74" w:name="_Toc239432634"/>
      <w:r>
        <w:t>八 参考资料</w:t>
      </w:r>
      <w:bookmarkEnd w:id="73"/>
      <w:bookmarkEnd w:id="74"/>
    </w:p>
    <w:p w14:paraId="1445D84B">
      <w:pPr>
        <w:pStyle w:val="5"/>
      </w:pPr>
      <w:r>
        <w:t>（一）法律与政策</w:t>
      </w:r>
    </w:p>
    <w:p w14:paraId="56876DD1">
      <w:pPr>
        <w:pStyle w:val="16"/>
        <w:jc w:val="left"/>
      </w:pPr>
      <w:r>
        <w:t>全国人民代表大会常务委员会：《中华人民共和国无障碍环境建设法》，2023年6月28日通过，2023年9月1日起施行。中国政府网：https://www.gov.cn/yaowen/liebiao/202306/content_6888910.htm</w:t>
      </w:r>
    </w:p>
    <w:p w14:paraId="248CCA16">
      <w:pPr>
        <w:pStyle w:val="16"/>
        <w:jc w:val="left"/>
      </w:pPr>
      <w:r>
        <w:t>全国人民代表大会常务委员会：《中华人民共和国残疾人保障法》，2018年修正，参见第五十八条。中国政府网：https://www.gov.cn/guoqing/2021-10/29/content_5647618.htm</w:t>
      </w:r>
    </w:p>
    <w:p w14:paraId="48317BB1">
      <w:pPr>
        <w:pStyle w:val="16"/>
        <w:jc w:val="left"/>
      </w:pPr>
      <w:r>
        <w:t>国务院：《无障碍环境建设条例》，国务院令第622号，2012年6月28日公布，2012年8月1日起施行，参见第十六条。</w:t>
      </w:r>
    </w:p>
    <w:p w14:paraId="2D631D01">
      <w:pPr>
        <w:pStyle w:val="16"/>
        <w:jc w:val="left"/>
      </w:pPr>
      <w:r>
        <w:t>全国人民代表大会常务委员会：《中华人民共和国消费者权益保护法》，2013年修正，2014年3月15日起施行，参见第十四条、第十六条、第二十六条。</w:t>
      </w:r>
    </w:p>
    <w:p>
      <w:pPr>
        <w:pStyle w:val="16"/>
        <w:jc w:val="left"/>
        <w:rPr/>
      </w:pPr>
      <w:r>
        <w:t xml:space="preserve">《无障碍旅游服务规范 旅游饭店》（GB/T 47543—2026），推荐性国家标准，2026年4月30日发布，2026年8月1日实施，文化和旅游部主管，全国旅游标准化技术委员会归口，状态：现行。全国标准信息公共服务平台：https://std.samr.gov.cn/gb/search/gbDetailed?id=511EBC5968EC9318E06397BE0A0AFBD5；国家标准全文公开系统：https://openstd.samr.gov.cn/bzgk/std/newGbInfo?hcno=11FB862766387228085E1B8F974590D7（核查日期：2026年10月11日；本次修订另行访问元数据页面：2026年10月11日；尚未取得标准全文）。</w:t>
      </w:r>
    </w:p>
    <w:p w14:paraId="4E5C71D3">
      <w:pPr>
        <w:pStyle w:val="5"/>
      </w:pPr>
      <w:r>
        <w:t>（二）行业与方法资料</w:t>
      </w:r>
    </w:p>
    <w:p w14:paraId="4B8789E9">
      <w:pPr>
        <w:pStyle w:val="16"/>
        <w:jc w:val="left"/>
      </w:pPr>
      <w:r>
        <w:rPr>
          <w:rFonts w:hint="eastAsia"/>
        </w:rPr>
        <w:t>中国饭店协会、北京第二外国语学院旅游科学学院、上海盈蝶企业管理咨询有限公司：《2022中国酒店集团及品牌发展报告》，2022年，第8页（品牌市场占有率），第13—14页（中端及经济型品牌分类）。用于品牌选择与类型说明。官方原文：https://cmsfiles.zhongkefu.com.cn/fandianyunfuwuoss/upload/202506/65283-1750749570.pdf（访问日期：2026年10月9日）。</w:t>
      </w:r>
    </w:p>
    <w:p w14:paraId="29C29CD1">
      <w:pPr>
        <w:pStyle w:val="16"/>
        <w:jc w:val="left"/>
      </w:pPr>
      <w:r>
        <w:t>International Guide Dog Federation（IGDF）：导盲犬工作属性、公众相处原则和公共空间使用相关资料，https://www.igdf.org.uk/（访问日期：2026年9月4日）。</w:t>
      </w:r>
    </w:p>
    <w:p w14:paraId="2CC3978B">
      <w:pPr>
        <w:pStyle w:val="16"/>
        <w:jc w:val="left"/>
      </w:pPr>
      <w:r>
        <w:t>锦江会客服中心回电录音，2025年6月30日（录音存档）。用于表1锦江集团一行。据柳嘉慜同日致电锦江客服时的说明，咨询者此前还从锦江客服处获得过一份导盲犬入住接待要求截图</w:t>
      </w:r>
      <w:r>
        <w:rPr>
          <w:rFonts w:hint="eastAsia"/>
          <w:lang w:eastAsia="zh-CN"/>
        </w:rPr>
        <w:t>。</w:t>
      </w:r>
    </w:p>
    <w:p w14:paraId="282F7DB9">
      <w:pPr>
        <w:pStyle w:val="16"/>
        <w:jc w:val="left"/>
      </w:pPr>
      <w:r>
        <w:t>华住集团客服电话答复录音，2025年6月30日（录音存档）。用于表1华住集团一行及图8、图9的评分。</w:t>
      </w:r>
    </w:p>
    <w:p w14:paraId="2A06CA5B">
      <w:pPr>
        <w:pStyle w:val="16"/>
        <w:jc w:val="left"/>
      </w:pPr>
      <w:r>
        <w:t>项目原始数据：《20260523 原始数据.xlsx》，工作表“下拉菜单表格”，558条门店记录（已于2026年10月10日与正文数字逐项核对）；用于复核门店结果、独立通话次数和答复方。</w:t>
      </w:r>
    </w:p>
    <w:p w14:paraId="618DC306">
      <w:pPr>
        <w:pStyle w:val="16"/>
        <w:jc w:val="left"/>
      </w:pPr>
      <w:r>
        <w:t>项目转写与编码资料：891条可编码回应及1344次担忧与理由标签出现；用于原因结构分析，编码规则列于附录二（七）“导盲犬认知担忧与理由编码”。</w:t>
      </w:r>
    </w:p>
    <w:p>
      <w:pPr>
        <w:pStyle w:val="16"/>
        <w:jc w:val="left"/>
        <w:rPr/>
      </w:pPr>
      <w:r>
        <w:t xml:space="preserve">锦江酒店：2025年ESG报告（2026年披露），印刷页第40页（PDF第41页），丽怡品牌华南视障友好试点。巨潮资讯网：https://static.cninfo.com.cn/finalpage/2026-03-28/1225048184.PDF（核查日期：2026年10月11日）。用于第二章一（二）的样本外补充。</w:t>
      </w:r>
    </w:p>
    <w:p w14:paraId="15393302">
      <w:pPr>
        <w:pStyle w:val="5"/>
      </w:pPr>
      <w:r>
        <w:t>（三）媒体报道</w:t>
      </w:r>
    </w:p>
    <w:p w14:paraId="1C6EB409">
      <w:pPr>
        <w:pStyle w:val="16"/>
        <w:jc w:val="left"/>
      </w:pPr>
      <w:r>
        <w:t>快科技：《视障博主带导盲犬住华住会酒店遭拒！客服回应：涉事酒店处罚道歉》，2025年5月6日，新浪科技转载：https://finance.sina.com.cn/tech/roll/2025-05-06/doc-inevrkva2188431.shtml（访问日期：2026年10月8日）。</w:t>
      </w:r>
    </w:p>
    <w:p w14:paraId="6F2B6D81">
      <w:pPr>
        <w:pStyle w:val="16"/>
        <w:jc w:val="left"/>
      </w:pPr>
      <w:r>
        <w:t>现代快报／现代+：《视障博主携带导盲犬入住全季被拒，涉事酒店致歉》，2025年5月4日，红星新闻转载：https://static.cdsb.com/micropub/Articles/202505/f4132451b4508785195e3c0177abf84e.html。用于核对涉事门店入住须知用语（访问日期：2026年10月9日）。</w:t>
      </w:r>
    </w:p>
    <w:p w14:paraId="5208DF68">
      <w:pPr>
        <w:pStyle w:val="16"/>
        <w:jc w:val="left"/>
      </w:pPr>
      <w:r>
        <w:t>新浪科技：《旗下酒店拒绝导盲犬入住 华住回应：要求所有酒店接待导盲犬 已开始对员工进行培训》，2025年5月6日：https://finance.sina.com.cn/tech/it/2025-05-06/doc-inevrkux0607703.shtml。用于核对华住的公开回应（访问日期：2026年10月9日）。</w:t>
      </w:r>
    </w:p>
    <w:p>
      <w:pPr>
        <w:pStyle w:val="16"/>
        <w:jc w:val="left"/>
        <w:rPr/>
      </w:pPr>
      <w:r>
        <w:t xml:space="preserve">央广网：《浙江学校牵头制定国家标准 守护出行障碍群体“无碍住宿”》，2026年6月7日（转载自潮新闻）：https://zj.cnr.cn/tdzj/20260607/t20260607_527651127.shtml。用于说明媒体报道的GB/T 47543—2026服务犬相关内容（访问日期：2026年10月11日）。</w:t>
      </w:r>
    </w:p>
    <w:p w14:paraId="4BAAC8A5">
      <w:pPr>
        <w:pStyle w:val="5"/>
      </w:pPr>
      <w:r>
        <w:t>（四）案例材料</w:t>
      </w:r>
    </w:p>
    <w:p w14:paraId="3D89859A">
      <w:pPr>
        <w:rPr>
          <w:lang w:eastAsia="zh-CN"/>
        </w:rPr>
      </w:pPr>
      <w:r>
        <w:t>正文所用电话案例：S28，广州格林豪泰番禺广场店；S07，广州7天东风东路杨箕地铁站店；S11，贵阳如家火车站鸿通城购物中心店。其他分析材料（正文未展开叙述）：S09，宁波城市便捷慈溪爱琴海孙塘北路店；S21，长春格林豪泰和平大街地铁站店及对应总部回电。案例转述依据对应录音的转写稿与工作表记录整理。</w:t>
      </w:r>
    </w:p>
    <w:p w14:paraId="45FC7236">
      <w:pPr>
        <w:keepLines/>
      </w:pPr>
      <w:r>
        <w:t>本人身份咨询材料：S01，合肥7天火车站地铁站店，2025年6月27日，吴凡工作表第175行；S38，哈尔滨格林豪泰中央大街店，2025年6月25日，吴凡工作表第590行（以上两例在正文中使用）；S34，成都尚客优悦石板滩东风街店，2025年6月19日，吴凡工作表第461行（正文未展开叙述）。正文案例过程依据对应转写稿转述；引号内的工作人员话语系根据转写稿整理的表达，并非逐字引语。</w:t>
      </w:r>
    </w:p>
    <w:p>
      <w:pPr>
        <w:pStyle w:val="5"/>
        <w:rPr/>
      </w:pPr>
      <w:r>
        <w:t xml:space="preserve">（五）2026年10月公开信息补充核查页面</w:t>
      </w:r>
    </w:p>
    <w:p>
      <w:pPr>
        <w:rPr/>
      </w:pPr>
      <w:r>
        <w:t xml:space="preserve">以下页面均为2026年10月11日公开信息核查所用，标注“本次修订另行访问”的为修订时另行查看。门店页面多数不在558家样本之内（见第二章表2）。</w:t>
      </w:r>
    </w:p>
    <w:p>
      <w:pPr>
        <w:pStyle w:val="16"/>
        <w:jc w:val="left"/>
        <w:rPr/>
      </w:pPr>
      <w:r>
        <w:t xml:space="preserve">华住·携程：全季深圳北站地铁站店，https://hotels.ctrip.com/hotels/115825601.html（核查日期：2026年10月11日）。</w:t>
      </w:r>
    </w:p>
    <w:p>
      <w:pPr>
        <w:pStyle w:val="16"/>
        <w:jc w:val="left"/>
        <w:rPr/>
      </w:pPr>
      <w:r>
        <w:t xml:space="preserve">华住·携程：汉庭广州中山八地铁站店，https://hotels.ctrip.com/hotels/80988697.html（核查日期：2026年10月11日）。</w:t>
      </w:r>
    </w:p>
    <w:p>
      <w:pPr>
        <w:pStyle w:val="16"/>
        <w:jc w:val="left"/>
        <w:rPr/>
      </w:pPr>
      <w:r>
        <w:t xml:space="preserve">华住·携程：汉庭上海奉贤康全路店，https://hotels.ctrip.com/hotels/122456173.html（核查日期：2026年10月11日）。</w:t>
      </w:r>
    </w:p>
    <w:p>
      <w:pPr>
        <w:pStyle w:val="16"/>
        <w:jc w:val="left"/>
        <w:rPr/>
      </w:pPr>
      <w:r>
        <w:t xml:space="preserve">锦江官方预订网站：锦江之星品尚杭州西湖大道南宋御街酒店，https://hotel.bestwehotel.com/HotelDetail/?hotelId=JJJD1600353（核查日期：2026年10月11日）。</w:t>
      </w:r>
    </w:p>
    <w:p>
      <w:pPr>
        <w:pStyle w:val="16"/>
        <w:jc w:val="left"/>
        <w:rPr/>
      </w:pPr>
      <w:r>
        <w:t xml:space="preserve">锦江官方预订网站：7天宜春经开区雷桥店，https://hotel.bestwehotel.com/HotelDetail/?hotelId=JJXRSEH805287（核查日期：2026年10月11日）。</w:t>
      </w:r>
    </w:p>
    <w:p>
      <w:pPr>
        <w:pStyle w:val="16"/>
        <w:jc w:val="left"/>
        <w:rPr/>
      </w:pPr>
      <w:r>
        <w:t xml:space="preserve">锦江官方预订网站：维也纳长白山北景区游客集散中心店，https://hotel.bestwehotel.com/HotelDetail/?hotelId=WYN1552408（核查日期：2026年10月11日）。</w:t>
      </w:r>
    </w:p>
    <w:p>
      <w:pPr>
        <w:pStyle w:val="16"/>
        <w:jc w:val="left"/>
        <w:rPr/>
      </w:pPr>
      <w:r>
        <w:t xml:space="preserve">锦江官方预订网站：麗枫乌鲁木齐高铁站维泰北路店，https://hotel.bestwehotel.com/HotelDetail/?hotelId=JJXRSEH805100（核查日期：2026年10月11日）。</w:t>
      </w:r>
    </w:p>
    <w:p>
      <w:pPr>
        <w:pStyle w:val="16"/>
        <w:jc w:val="left"/>
        <w:rPr/>
      </w:pPr>
      <w:r>
        <w:t xml:space="preserve">首旅如家官网：如家北京西客站六里桥东地铁站店，https://www.bthhotels.com/wap/HotelInfo/0100F9?pt=info（核查日期：2026年10月11日）。</w:t>
      </w:r>
    </w:p>
    <w:p>
      <w:pPr>
        <w:pStyle w:val="16"/>
        <w:jc w:val="left"/>
        <w:rPr/>
      </w:pPr>
      <w:r>
        <w:t xml:space="preserve">首旅如家官网：如家南京新街口朝天宫地铁站店，https://www.bthhotels.com/wap/HotelInfo/Z25024?pt=info（核查日期：2026年10月11日）。</w:t>
      </w:r>
    </w:p>
    <w:p>
      <w:pPr>
        <w:pStyle w:val="16"/>
        <w:jc w:val="left"/>
        <w:rPr/>
      </w:pPr>
      <w:r>
        <w:t xml:space="preserve">首旅如家官网：如家·neo-贵阳火车站甲秀楼青云市集店（S11候选门店，身份待核实），https://www.bthhotels.com/wap/HotelInfo/085105?pt=info（本次修订另行访问：2026年10月11日）。</w:t>
      </w:r>
    </w:p>
    <w:p>
      <w:pPr>
        <w:pStyle w:val="16"/>
        <w:jc w:val="left"/>
        <w:rPr/>
      </w:pPr>
      <w:r>
        <w:t xml:space="preserve">格林官网：《宾客入住须知》，https://www.998.com/Help/detaile?infoId=ea00662a-4320-495d-a1e0-8e8892e5942f&amp;typeId=b713a502-7af4-4ad7-961e-8f707353adfe（核查日期：2026年10月11日）。</w:t>
      </w:r>
    </w:p>
    <w:p>
      <w:pPr>
        <w:pStyle w:val="16"/>
        <w:jc w:val="left"/>
        <w:rPr/>
      </w:pPr>
      <w:r>
        <w:t xml:space="preserve">格林·携程：广州番禺广场店（S28），https://hotels.ctrip.com/hotels/1782515.html（核查日期：2026年10月11日）。</w:t>
      </w:r>
    </w:p>
    <w:p>
      <w:pPr>
        <w:pStyle w:val="16"/>
        <w:jc w:val="left"/>
        <w:rPr/>
      </w:pPr>
      <w:r>
        <w:t xml:space="preserve">格林·携程：哈尔滨中央大街店（S38），https://hotels.ctrip.com/hotels/1944713.html（核查日期：2026年10月11日）。</w:t>
      </w:r>
    </w:p>
    <w:p>
      <w:pPr>
        <w:pStyle w:val="16"/>
        <w:jc w:val="left"/>
        <w:rPr/>
      </w:pPr>
      <w:r>
        <w:t xml:space="preserve">格林·携程：长春和平大街地铁站店（S21），https://hotels.ctrip.com/hotels/4836062.html（核查日期：2026年10月11日）。</w:t>
      </w:r>
    </w:p>
    <w:p>
      <w:pPr>
        <w:pStyle w:val="16"/>
        <w:jc w:val="left"/>
        <w:rPr/>
      </w:pPr>
      <w:r>
        <w:t xml:space="preserve">东呈·携程：城市便捷重庆观音桥步行街店，https://hotels.ctrip.com/hotels/134622935.html（核查日期：2026年10月11日）。</w:t>
      </w:r>
    </w:p>
    <w:p>
      <w:pPr>
        <w:pStyle w:val="16"/>
        <w:jc w:val="left"/>
        <w:rPr/>
      </w:pPr>
      <w:r>
        <w:t xml:space="preserve">东呈·携程：城市便捷上海野生动物园申江南路店，https://hotels.ctrip.com/hotels/6818802.html（核查日期：2026年10月11日）。</w:t>
      </w:r>
    </w:p>
    <w:p>
      <w:pPr>
        <w:pStyle w:val="16"/>
        <w:jc w:val="left"/>
        <w:rPr/>
      </w:pPr>
      <w:r>
        <w:t xml:space="preserve">东呈·携程：城市便捷漳州金峰开发区店，https://hotels.ctrip.com/hotels/50269603.html（核查日期：2026年10月11日）。</w:t>
      </w:r>
    </w:p>
    <w:p>
      <w:pPr>
        <w:pStyle w:val="16"/>
        <w:jc w:val="left"/>
        <w:rPr/>
      </w:pPr>
      <w:r>
        <w:t xml:space="preserve">尚美数智·携程：成都尚客优悦石板滩东风街店（S34），https://hotels.ctrip.com/hotels/108839843.html（核查日期：2026年10月11日）。</w:t>
      </w:r>
    </w:p>
    <w:p>
      <w:pPr>
        <w:pStyle w:val="16"/>
        <w:jc w:val="left"/>
        <w:rPr/>
      </w:pPr>
      <w:r>
        <w:t xml:space="preserve">尚美数智·携程：尚客优无极西路店，https://hotels.ctrip.com/hotels/75877735.html（核查日期：2026年10月11日）。</w:t>
      </w:r>
    </w:p>
    <w:p>
      <w:pPr>
        <w:pStyle w:val="16"/>
        <w:jc w:val="left"/>
        <w:rPr/>
      </w:pPr>
      <w:r>
        <w:t xml:space="preserve">尚美数智·携程：尚客优台前火车站店，https://hotels.ctrip.com/hotels/1686628.html（核查日期：2026年10月11日）。</w:t>
      </w:r>
    </w:p>
    <w:sectPr>
      <w:headerReference r:id="rId5" w:type="default"/>
      <w:footerReference r:id="rId6" w:type="default"/>
      <w:pgSz w:w="11906" w:h="16838"/>
      <w:pgMar w:top="1361" w:right="1474" w:bottom="1361" w:left="1474" w:header="851" w:footer="992" w:gutter="0"/>
      <w:cols w:space="720" w:num="1"/>
      <w:docGrid w:linePitch="360"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45495">
    <w:pPr>
      <w:spacing w:before="0" w:after="0"/>
      <w:jc w:val="center"/>
    </w:pPr>
    <w:r>
      <w:rPr>
        <w:rFonts w:eastAsia="黑体"/>
        <w:color w:val="666666"/>
        <w:sz w:val="17"/>
      </w:rPr>
      <w:fldChar w:fldCharType="begin"/>
    </w:r>
    <w:r>
      <w:rPr>
        <w:rFonts w:eastAsia="黑体"/>
        <w:color w:val="666666"/>
        <w:sz w:val="17"/>
      </w:rPr>
      <w:instrText xml:space="preserve"> PAGE </w:instrText>
    </w:r>
    <w:r>
      <w:rPr>
        <w:rFonts w:eastAsia="黑体"/>
        <w:color w:val="666666"/>
        <w:sz w:val="17"/>
      </w:rPr>
      <w:fldChar w:fldCharType="separate"/>
    </w:r>
    <w:r>
      <w:rPr>
        <w:rFonts w:eastAsia="黑体"/>
        <w:color w:val="666666"/>
        <w:sz w:val="17"/>
      </w:rPr>
      <w:t>1</w:t>
    </w:r>
    <w:r>
      <w:rPr>
        <w:rFonts w:eastAsia="黑体"/>
        <w:color w:val="666666"/>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C6447">
    <w:pPr>
      <w:spacing w:before="0" w:after="0"/>
      <w:jc w:val="center"/>
    </w:pPr>
    <w:r>
      <w:drawing>
        <wp:inline distT="0" distB="0" distL="0" distR="0">
          <wp:extent cx="713105" cy="248285"/>
          <wp:effectExtent l="0" t="0" r="0" b="0"/>
          <wp:docPr id="1730449791" name="Picture 1" descr="Inclusion X 标识" title="Inclusion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49791" name="Picture 1" descr="Inclusion X 标识" title="Inclusion X"/>
                  <pic:cNvPicPr>
                    <a:picLocks noChangeAspect="1"/>
                  </pic:cNvPicPr>
                </pic:nvPicPr>
                <pic:blipFill>
                  <a:blip r:embed="rId1"/>
                  <a:stretch>
                    <a:fillRect/>
                  </a:stretch>
                </pic:blipFill>
                <pic:spPr>
                  <a:xfrm>
                    <a:off x="0" y="0"/>
                    <a:ext cx="713232" cy="248292"/>
                  </a:xfrm>
                  <a:prstGeom prst="rect">
                    <a:avLst/>
                  </a:prstGeom>
                </pic:spPr>
              </pic:pic>
            </a:graphicData>
          </a:graphic>
        </wp:inline>
      </w:drawing>
    </w:r>
    <w:r>
      <w:rPr>
        <w:rFonts w:eastAsia="黑体"/>
        <w:color w:val="666666"/>
        <w:sz w:val="16"/>
      </w:rPr>
      <w:t xml:space="preserve">    </w:t>
    </w:r>
    <w:r>
      <w:drawing>
        <wp:inline distT="0" distB="0" distL="0" distR="0">
          <wp:extent cx="530225" cy="252730"/>
          <wp:effectExtent l="0" t="0" r="0" b="0"/>
          <wp:docPr id="110545825" name="Picture 2" descr="酷残未来标识" title="酷残未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825" name="Picture 2" descr="酷残未来标识" title="酷残未来"/>
                  <pic:cNvPicPr>
                    <a:picLocks noChangeAspect="1"/>
                  </pic:cNvPicPr>
                </pic:nvPicPr>
                <pic:blipFill>
                  <a:blip r:embed="rId2"/>
                  <a:stretch>
                    <a:fillRect/>
                  </a:stretch>
                </pic:blipFill>
                <pic:spPr>
                  <a:xfrm>
                    <a:off x="0" y="0"/>
                    <a:ext cx="530352" cy="25306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583FA"/>
    <w:multiLevelType w:val="singleLevel"/>
    <w:tmpl w:val="FF7583FA"/>
    <w:lvl w:ilvl="0" w:tentative="0">
      <w:start w:val="1"/>
      <w:numFmt w:val="decimal"/>
      <w:lvlText w:val="%1."/>
      <w:lvlJc w:val="left"/>
      <w:pPr>
        <w:tabs>
          <w:tab w:val="left" w:pos="312"/>
        </w:tabs>
      </w:pPr>
    </w:lvl>
  </w:abstractNum>
  <w:abstractNum w:abstractNumId="1">
    <w:nsid w:val="7E084579"/>
    <w:multiLevelType w:val="multilevel"/>
    <w:tmpl w:val="7E084579"/>
    <w:lvl w:ilvl="0" w:tentative="0">
      <w:start w:val="1"/>
      <w:numFmt w:val="bullet"/>
      <w:pStyle w:val="16"/>
      <w:lvlText w:val="•"/>
      <w:lvlJc w:val="left"/>
      <w:pPr>
        <w:tabs>
          <w:tab w:val="left" w:pos="540"/>
        </w:tabs>
        <w:ind w:left="540" w:hanging="270"/>
      </w:pPr>
      <w:rPr>
        <w:rFonts w:ascii="Arial" w:hAnsi="Aria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trackRevisions w:val="1"/>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391"/>
    <w:rsid w:val="00034616"/>
    <w:rsid w:val="00051313"/>
    <w:rsid w:val="0006063C"/>
    <w:rsid w:val="00081288"/>
    <w:rsid w:val="00090251"/>
    <w:rsid w:val="000905DC"/>
    <w:rsid w:val="000A528F"/>
    <w:rsid w:val="000D6F37"/>
    <w:rsid w:val="00105115"/>
    <w:rsid w:val="001058D5"/>
    <w:rsid w:val="0015074B"/>
    <w:rsid w:val="00164B07"/>
    <w:rsid w:val="001652FC"/>
    <w:rsid w:val="00165A38"/>
    <w:rsid w:val="001708BC"/>
    <w:rsid w:val="001739B1"/>
    <w:rsid w:val="00174B6A"/>
    <w:rsid w:val="00176DD8"/>
    <w:rsid w:val="001806C0"/>
    <w:rsid w:val="00183A02"/>
    <w:rsid w:val="001D562C"/>
    <w:rsid w:val="002037EF"/>
    <w:rsid w:val="00210BCE"/>
    <w:rsid w:val="00244BC1"/>
    <w:rsid w:val="00285DA7"/>
    <w:rsid w:val="0029639D"/>
    <w:rsid w:val="002B1F70"/>
    <w:rsid w:val="002B4D1E"/>
    <w:rsid w:val="002C09DB"/>
    <w:rsid w:val="002F04FD"/>
    <w:rsid w:val="002F12C2"/>
    <w:rsid w:val="00326F90"/>
    <w:rsid w:val="003364BE"/>
    <w:rsid w:val="0034127C"/>
    <w:rsid w:val="00352D5F"/>
    <w:rsid w:val="00363180"/>
    <w:rsid w:val="00382CAC"/>
    <w:rsid w:val="003948D7"/>
    <w:rsid w:val="00396658"/>
    <w:rsid w:val="003C57BC"/>
    <w:rsid w:val="00462B72"/>
    <w:rsid w:val="004660F0"/>
    <w:rsid w:val="004723BE"/>
    <w:rsid w:val="00476203"/>
    <w:rsid w:val="0048176C"/>
    <w:rsid w:val="00485A21"/>
    <w:rsid w:val="004C106D"/>
    <w:rsid w:val="004C7E0F"/>
    <w:rsid w:val="005466D1"/>
    <w:rsid w:val="00560034"/>
    <w:rsid w:val="00595051"/>
    <w:rsid w:val="00625693"/>
    <w:rsid w:val="00636AE3"/>
    <w:rsid w:val="0066040D"/>
    <w:rsid w:val="0066196C"/>
    <w:rsid w:val="00685A90"/>
    <w:rsid w:val="006A3593"/>
    <w:rsid w:val="006B1A8E"/>
    <w:rsid w:val="006D4D40"/>
    <w:rsid w:val="006E6558"/>
    <w:rsid w:val="006F6818"/>
    <w:rsid w:val="00780FFD"/>
    <w:rsid w:val="00797AAD"/>
    <w:rsid w:val="007B4466"/>
    <w:rsid w:val="007D1BBD"/>
    <w:rsid w:val="007D669E"/>
    <w:rsid w:val="007E775C"/>
    <w:rsid w:val="008047D7"/>
    <w:rsid w:val="00862F70"/>
    <w:rsid w:val="0086785D"/>
    <w:rsid w:val="00874486"/>
    <w:rsid w:val="008807E0"/>
    <w:rsid w:val="008A133D"/>
    <w:rsid w:val="008A413E"/>
    <w:rsid w:val="0090793D"/>
    <w:rsid w:val="0096246B"/>
    <w:rsid w:val="009709D5"/>
    <w:rsid w:val="00971A1F"/>
    <w:rsid w:val="00973481"/>
    <w:rsid w:val="009A3D68"/>
    <w:rsid w:val="009A596E"/>
    <w:rsid w:val="009C6311"/>
    <w:rsid w:val="009F7587"/>
    <w:rsid w:val="00A03E66"/>
    <w:rsid w:val="00A239A1"/>
    <w:rsid w:val="00A23AB0"/>
    <w:rsid w:val="00A255B5"/>
    <w:rsid w:val="00A354DD"/>
    <w:rsid w:val="00A879ED"/>
    <w:rsid w:val="00AA1D8D"/>
    <w:rsid w:val="00AA2405"/>
    <w:rsid w:val="00AE0CE5"/>
    <w:rsid w:val="00AF60AD"/>
    <w:rsid w:val="00B0114D"/>
    <w:rsid w:val="00B02512"/>
    <w:rsid w:val="00B11953"/>
    <w:rsid w:val="00B44F40"/>
    <w:rsid w:val="00B47730"/>
    <w:rsid w:val="00B50DC0"/>
    <w:rsid w:val="00B872A1"/>
    <w:rsid w:val="00B9496A"/>
    <w:rsid w:val="00BA02C4"/>
    <w:rsid w:val="00BB5502"/>
    <w:rsid w:val="00BC4E1B"/>
    <w:rsid w:val="00BD676D"/>
    <w:rsid w:val="00BD7B35"/>
    <w:rsid w:val="00BF7F67"/>
    <w:rsid w:val="00C03C77"/>
    <w:rsid w:val="00C1603B"/>
    <w:rsid w:val="00C248CF"/>
    <w:rsid w:val="00C45323"/>
    <w:rsid w:val="00CA01E8"/>
    <w:rsid w:val="00CA4776"/>
    <w:rsid w:val="00CB0664"/>
    <w:rsid w:val="00CF2710"/>
    <w:rsid w:val="00D277F3"/>
    <w:rsid w:val="00D325C9"/>
    <w:rsid w:val="00D33370"/>
    <w:rsid w:val="00D337D9"/>
    <w:rsid w:val="00D57C19"/>
    <w:rsid w:val="00DA7BD3"/>
    <w:rsid w:val="00DC6620"/>
    <w:rsid w:val="00DD6C62"/>
    <w:rsid w:val="00E424B7"/>
    <w:rsid w:val="00E61372"/>
    <w:rsid w:val="00E71073"/>
    <w:rsid w:val="00EC005B"/>
    <w:rsid w:val="00EC4625"/>
    <w:rsid w:val="00EE3035"/>
    <w:rsid w:val="00F040BE"/>
    <w:rsid w:val="00F06B69"/>
    <w:rsid w:val="00F17FCC"/>
    <w:rsid w:val="00F41DF6"/>
    <w:rsid w:val="00F4571F"/>
    <w:rsid w:val="00F64C4F"/>
    <w:rsid w:val="00F710D1"/>
    <w:rsid w:val="00F81392"/>
    <w:rsid w:val="00F836E9"/>
    <w:rsid w:val="00FC693F"/>
    <w:rsid w:val="00FE5ECF"/>
    <w:rsid w:val="00FF439A"/>
    <w:rsid w:val="05324605"/>
    <w:rsid w:val="05434BD6"/>
    <w:rsid w:val="06D92840"/>
    <w:rsid w:val="08E760CC"/>
    <w:rsid w:val="0B9C51B8"/>
    <w:rsid w:val="0BA97883"/>
    <w:rsid w:val="0DAD0977"/>
    <w:rsid w:val="11E8614A"/>
    <w:rsid w:val="11EB1122"/>
    <w:rsid w:val="1579084D"/>
    <w:rsid w:val="17606327"/>
    <w:rsid w:val="18794AE5"/>
    <w:rsid w:val="1C806B03"/>
    <w:rsid w:val="1D4C2FB9"/>
    <w:rsid w:val="1D5F0CAC"/>
    <w:rsid w:val="1F244811"/>
    <w:rsid w:val="204F049E"/>
    <w:rsid w:val="28F8575C"/>
    <w:rsid w:val="2BE24CBA"/>
    <w:rsid w:val="2CA20E44"/>
    <w:rsid w:val="2CAF36C9"/>
    <w:rsid w:val="34CC5028"/>
    <w:rsid w:val="352038C6"/>
    <w:rsid w:val="36761E9B"/>
    <w:rsid w:val="38806F31"/>
    <w:rsid w:val="3A32781E"/>
    <w:rsid w:val="3B784691"/>
    <w:rsid w:val="3B80392B"/>
    <w:rsid w:val="436A3C36"/>
    <w:rsid w:val="442C6752"/>
    <w:rsid w:val="453A344A"/>
    <w:rsid w:val="45D258DF"/>
    <w:rsid w:val="46043565"/>
    <w:rsid w:val="4A0B79FF"/>
    <w:rsid w:val="4E510FDA"/>
    <w:rsid w:val="51A35711"/>
    <w:rsid w:val="56301B0B"/>
    <w:rsid w:val="5708742C"/>
    <w:rsid w:val="5DE636BB"/>
    <w:rsid w:val="5EC7770D"/>
    <w:rsid w:val="5F237087"/>
    <w:rsid w:val="612501F8"/>
    <w:rsid w:val="61B2405A"/>
    <w:rsid w:val="664D3043"/>
    <w:rsid w:val="666C58B0"/>
    <w:rsid w:val="6E6F1231"/>
    <w:rsid w:val="710423E6"/>
    <w:rsid w:val="71293277"/>
    <w:rsid w:val="730B012E"/>
    <w:rsid w:val="734170A4"/>
    <w:rsid w:val="748714CD"/>
    <w:rsid w:val="797509D0"/>
    <w:rsid w:val="7AA54F6C"/>
    <w:rsid w:val="7B19503E"/>
    <w:rsid w:val="7D952D62"/>
    <w:rsid w:val="7DFDD2D2"/>
    <w:rsid w:val="F53B1D5F"/>
    <w:rsid w:val="FDC61807"/>
    <w:rsid w:val="FF7E44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78" w:after="78" w:line="360" w:lineRule="auto"/>
      <w:ind w:firstLine="480"/>
      <w:jc w:val="both"/>
    </w:pPr>
    <w:rPr>
      <w:rFonts w:ascii="Aptos" w:hAnsi="Aptos" w:eastAsia="宋体" w:cstheme="minorBidi"/>
      <w:color w:val="1B1C1D"/>
      <w:sz w:val="21"/>
      <w:szCs w:val="22"/>
      <w:lang w:val="en-US" w:eastAsia="en-US" w:bidi="ar-SA"/>
    </w:rPr>
  </w:style>
  <w:style w:type="paragraph" w:styleId="3">
    <w:name w:val="heading 1"/>
    <w:basedOn w:val="1"/>
    <w:next w:val="1"/>
    <w:link w:val="146"/>
    <w:qFormat/>
    <w:uiPriority w:val="9"/>
    <w:pPr>
      <w:keepNext/>
      <w:keepLines/>
      <w:spacing w:before="360" w:after="200" w:line="288" w:lineRule="auto"/>
      <w:ind w:firstLine="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7"/>
    <w:unhideWhenUsed/>
    <w:qFormat/>
    <w:uiPriority w:val="9"/>
    <w:pPr>
      <w:keepNext/>
      <w:keepLines/>
      <w:spacing w:before="280" w:after="140" w:line="300" w:lineRule="auto"/>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8"/>
    <w:unhideWhenUsed/>
    <w:qFormat/>
    <w:uiPriority w:val="9"/>
    <w:pPr>
      <w:keepNext/>
      <w:keepLines/>
      <w:spacing w:before="200" w:after="100" w:line="300" w:lineRule="auto"/>
      <w:ind w:firstLine="0"/>
      <w:outlineLvl w:val="2"/>
    </w:pPr>
    <w:rPr>
      <w:rFonts w:asciiTheme="majorHAnsi" w:hAnsiTheme="majorHAnsi" w:eastAsiaTheme="majorEastAsia" w:cstheme="majorBidi"/>
      <w:b/>
      <w:bCs/>
      <w:color w:val="000000"/>
      <w:sz w:val="23"/>
    </w:rPr>
  </w:style>
  <w:style w:type="paragraph" w:styleId="6">
    <w:name w:val="heading 4"/>
    <w:basedOn w:val="1"/>
    <w:next w:val="1"/>
    <w:link w:val="158"/>
    <w:semiHidden/>
    <w:unhideWhenUsed/>
    <w:qFormat/>
    <w:uiPriority w:val="9"/>
    <w:pPr>
      <w:keepNext/>
      <w:keepLines/>
      <w:spacing w:before="160" w:after="80" w:line="288" w:lineRule="auto"/>
      <w:outlineLvl w:val="3"/>
    </w:pPr>
    <w:rPr>
      <w:rFonts w:asciiTheme="majorHAnsi" w:hAnsiTheme="majorHAnsi" w:eastAsiaTheme="majorEastAsia" w:cstheme="majorBidi"/>
      <w:b/>
      <w:bCs/>
      <w:i/>
      <w:iCs/>
      <w:color w:val="000000"/>
    </w:rPr>
  </w:style>
  <w:style w:type="paragraph" w:styleId="7">
    <w:name w:val="heading 5"/>
    <w:basedOn w:val="1"/>
    <w:next w:val="1"/>
    <w:link w:val="159"/>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0"/>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1"/>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2"/>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3"/>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8">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macro"/>
    <w:link w:val="15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tabs>
        <w:tab w:val="left" w:pos="360"/>
      </w:tabs>
      <w:contextualSpacing/>
    </w:pPr>
  </w:style>
  <w:style w:type="paragraph" w:styleId="14">
    <w:name w:val="List Number"/>
    <w:basedOn w:val="1"/>
    <w:unhideWhenUsed/>
    <w:qFormat/>
    <w:uiPriority w:val="99"/>
    <w:pPr>
      <w:tabs>
        <w:tab w:val="left" w:pos="360"/>
      </w:tabs>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1"/>
      </w:numPr>
      <w:contextualSpacing/>
    </w:pPr>
  </w:style>
  <w:style w:type="paragraph" w:styleId="17">
    <w:name w:val="annotation text"/>
    <w:basedOn w:val="1"/>
    <w:link w:val="187"/>
    <w:semiHidden/>
    <w:unhideWhenUsed/>
    <w:qFormat/>
    <w:uiPriority w:val="99"/>
    <w:pPr>
      <w:jc w:val="left"/>
    </w:pPr>
  </w:style>
  <w:style w:type="paragraph" w:styleId="18">
    <w:name w:val="Body Text 3"/>
    <w:basedOn w:val="1"/>
    <w:link w:val="154"/>
    <w:unhideWhenUsed/>
    <w:qFormat/>
    <w:uiPriority w:val="99"/>
    <w:pPr>
      <w:spacing w:after="120"/>
    </w:pPr>
    <w:rPr>
      <w:sz w:val="16"/>
      <w:szCs w:val="16"/>
    </w:rPr>
  </w:style>
  <w:style w:type="paragraph" w:styleId="19">
    <w:name w:val="List Bullet 3"/>
    <w:basedOn w:val="1"/>
    <w:unhideWhenUsed/>
    <w:qFormat/>
    <w:uiPriority w:val="99"/>
    <w:pPr>
      <w:tabs>
        <w:tab w:val="left" w:pos="360"/>
      </w:tabs>
      <w:contextualSpacing/>
    </w:pPr>
  </w:style>
  <w:style w:type="paragraph" w:styleId="20">
    <w:name w:val="Body Text"/>
    <w:basedOn w:val="1"/>
    <w:link w:val="152"/>
    <w:unhideWhenUsed/>
    <w:qFormat/>
    <w:uiPriority w:val="99"/>
    <w:pPr>
      <w:spacing w:after="120"/>
    </w:pPr>
  </w:style>
  <w:style w:type="paragraph" w:styleId="21">
    <w:name w:val="List Number 3"/>
    <w:basedOn w:val="1"/>
    <w:unhideWhenUsed/>
    <w:qFormat/>
    <w:uiPriority w:val="99"/>
    <w:pPr>
      <w:tabs>
        <w:tab w:val="left" w:pos="360"/>
      </w:tabs>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tabs>
        <w:tab w:val="left" w:pos="360"/>
      </w:tabs>
      <w:contextualSpacing/>
    </w:pPr>
  </w:style>
  <w:style w:type="paragraph" w:styleId="25">
    <w:name w:val="toc 3"/>
    <w:basedOn w:val="1"/>
    <w:next w:val="1"/>
    <w:autoRedefine/>
    <w:unhideWhenUsed/>
    <w:qFormat/>
    <w:uiPriority w:val="39"/>
    <w:pPr>
      <w:spacing w:before="30" w:after="30" w:line="264" w:lineRule="auto"/>
      <w:ind w:left="840" w:leftChars="400"/>
    </w:pPr>
    <w:rPr>
      <w:sz w:val="18"/>
    </w:rPr>
  </w:style>
  <w:style w:type="paragraph" w:styleId="26">
    <w:name w:val="footer"/>
    <w:basedOn w:val="1"/>
    <w:link w:val="144"/>
    <w:unhideWhenUsed/>
    <w:qFormat/>
    <w:uiPriority w:val="99"/>
    <w:pPr>
      <w:tabs>
        <w:tab w:val="center" w:pos="4680"/>
        <w:tab w:val="right" w:pos="9360"/>
      </w:tabs>
      <w:spacing w:after="0" w:line="240" w:lineRule="auto"/>
    </w:pPr>
  </w:style>
  <w:style w:type="paragraph" w:styleId="27">
    <w:name w:val="header"/>
    <w:basedOn w:val="1"/>
    <w:link w:val="143"/>
    <w:unhideWhenUsed/>
    <w:qFormat/>
    <w:uiPriority w:val="99"/>
    <w:pPr>
      <w:tabs>
        <w:tab w:val="center" w:pos="4680"/>
        <w:tab w:val="right" w:pos="9360"/>
      </w:tabs>
      <w:spacing w:after="0" w:line="240" w:lineRule="auto"/>
    </w:pPr>
  </w:style>
  <w:style w:type="paragraph" w:styleId="28">
    <w:name w:val="toc 1"/>
    <w:basedOn w:val="1"/>
    <w:next w:val="1"/>
    <w:autoRedefine/>
    <w:unhideWhenUsed/>
    <w:qFormat/>
    <w:uiPriority w:val="39"/>
    <w:pPr>
      <w:spacing w:before="0" w:after="0" w:line="240" w:lineRule="auto"/>
    </w:pPr>
    <w:rPr>
      <w:rFonts w:eastAsia="等线"/>
      <w:sz w:val="18"/>
    </w:rPr>
  </w:style>
  <w:style w:type="paragraph" w:styleId="29">
    <w:name w:val="Subtitle"/>
    <w:basedOn w:val="1"/>
    <w:next w:val="1"/>
    <w:link w:val="150"/>
    <w:qFormat/>
    <w:uiPriority w:val="11"/>
    <w:pPr>
      <w:spacing w:before="0" w:after="320"/>
      <w:jc w:val="center"/>
    </w:pPr>
    <w:rPr>
      <w:rFonts w:asciiTheme="majorHAnsi" w:hAnsiTheme="majorHAnsi" w:eastAsiaTheme="majorEastAsia" w:cstheme="majorBidi"/>
      <w:i/>
      <w:iCs/>
      <w:color w:val="000000"/>
      <w:spacing w:val="15"/>
      <w:sz w:val="24"/>
      <w:szCs w:val="24"/>
    </w:rPr>
  </w:style>
  <w:style w:type="paragraph" w:styleId="30">
    <w:name w:val="List"/>
    <w:basedOn w:val="1"/>
    <w:unhideWhenUsed/>
    <w:qFormat/>
    <w:uiPriority w:val="99"/>
    <w:pPr>
      <w:ind w:left="360" w:hanging="360"/>
      <w:contextualSpacing/>
    </w:pPr>
  </w:style>
  <w:style w:type="paragraph" w:styleId="31">
    <w:name w:val="toc 2"/>
    <w:basedOn w:val="1"/>
    <w:next w:val="1"/>
    <w:autoRedefine/>
    <w:unhideWhenUsed/>
    <w:qFormat/>
    <w:uiPriority w:val="39"/>
    <w:pPr>
      <w:spacing w:before="0" w:after="0" w:line="240" w:lineRule="auto"/>
      <w:ind w:left="317" w:leftChars="200"/>
    </w:pPr>
    <w:rPr>
      <w:sz w:val="17"/>
    </w:rPr>
  </w:style>
  <w:style w:type="paragraph" w:styleId="32">
    <w:name w:val="Body Text 2"/>
    <w:basedOn w:val="1"/>
    <w:link w:val="153"/>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Normal (Web)"/>
    <w:basedOn w:val="1"/>
    <w:semiHidden/>
    <w:unhideWhenUsed/>
    <w:qFormat/>
    <w:uiPriority w:val="99"/>
    <w:pPr>
      <w:spacing w:before="0" w:beforeAutospacing="1" w:after="0" w:afterAutospacing="1"/>
      <w:jc w:val="left"/>
    </w:pPr>
    <w:rPr>
      <w:rFonts w:cs="Times New Roman"/>
      <w:sz w:val="24"/>
      <w:lang w:eastAsia="zh-CN"/>
    </w:rPr>
  </w:style>
  <w:style w:type="paragraph" w:styleId="35">
    <w:name w:val="List Continue 3"/>
    <w:basedOn w:val="1"/>
    <w:unhideWhenUsed/>
    <w:qFormat/>
    <w:uiPriority w:val="99"/>
    <w:pPr>
      <w:spacing w:after="120"/>
      <w:ind w:left="1080"/>
      <w:contextualSpacing/>
    </w:pPr>
  </w:style>
  <w:style w:type="paragraph" w:styleId="36">
    <w:name w:val="Title"/>
    <w:basedOn w:val="1"/>
    <w:next w:val="1"/>
    <w:link w:val="149"/>
    <w:qFormat/>
    <w:uiPriority w:val="10"/>
    <w:pPr>
      <w:spacing w:before="80" w:after="200"/>
      <w:contextualSpacing/>
      <w:jc w:val="center"/>
    </w:pPr>
    <w:rPr>
      <w:rFonts w:asciiTheme="majorHAnsi" w:hAnsiTheme="majorHAnsi" w:eastAsiaTheme="majorEastAsia" w:cstheme="majorBidi"/>
      <w:b/>
      <w:color w:val="000000"/>
      <w:spacing w:val="5"/>
      <w:kern w:val="28"/>
      <w:sz w:val="40"/>
      <w:szCs w:val="52"/>
    </w:rPr>
  </w:style>
  <w:style w:type="paragraph" w:styleId="37">
    <w:name w:val="annotation subject"/>
    <w:basedOn w:val="17"/>
    <w:next w:val="17"/>
    <w:link w:val="190"/>
    <w:semiHidden/>
    <w:unhideWhenUsed/>
    <w:qFormat/>
    <w:uiPriority w:val="99"/>
    <w:rPr>
      <w:b/>
      <w:bCs/>
    </w:r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0">
    <w:name w:val="Light Shading"/>
    <w:basedOn w:val="38"/>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1">
    <w:name w:val="Light Shading Accent 1"/>
    <w:basedOn w:val="38"/>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2">
    <w:name w:val="Light Shading Accent 2"/>
    <w:basedOn w:val="38"/>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3">
    <w:name w:val="Light Shading Accent 3"/>
    <w:basedOn w:val="38"/>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4">
    <w:name w:val="Light Shading Accent 4"/>
    <w:basedOn w:val="38"/>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5">
    <w:name w:val="Light Shading Accent 5"/>
    <w:basedOn w:val="38"/>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6">
    <w:name w:val="Light Shading Accent 6"/>
    <w:basedOn w:val="38"/>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7">
    <w:name w:val="Light List"/>
    <w:basedOn w:val="38"/>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8">
    <w:name w:val="Light List Accent 1"/>
    <w:basedOn w:val="38"/>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9">
    <w:name w:val="Light List Accent 2"/>
    <w:basedOn w:val="38"/>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0">
    <w:name w:val="Light List Accent 3"/>
    <w:basedOn w:val="38"/>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1">
    <w:name w:val="Light List Accent 4"/>
    <w:basedOn w:val="38"/>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2">
    <w:name w:val="Light List Accent 5"/>
    <w:basedOn w:val="38"/>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3">
    <w:name w:val="Light List Accent 6"/>
    <w:basedOn w:val="38"/>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4">
    <w:name w:val="Light Grid"/>
    <w:basedOn w:val="38"/>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5">
    <w:name w:val="Light Grid Accent 1"/>
    <w:basedOn w:val="38"/>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6">
    <w:name w:val="Light Grid Accent 2"/>
    <w:basedOn w:val="38"/>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7">
    <w:name w:val="Light Grid Accent 3"/>
    <w:basedOn w:val="38"/>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8">
    <w:name w:val="Light Grid Accent 4"/>
    <w:basedOn w:val="38"/>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9">
    <w:name w:val="Light Grid Accent 5"/>
    <w:basedOn w:val="38"/>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0">
    <w:name w:val="Light Grid Accent 6"/>
    <w:basedOn w:val="38"/>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1">
    <w:name w:val="Medium Shading 1"/>
    <w:basedOn w:val="38"/>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2">
    <w:name w:val="Medium Shading 1 Accent 1"/>
    <w:basedOn w:val="38"/>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3">
    <w:name w:val="Medium Shading 1 Accent 2"/>
    <w:basedOn w:val="38"/>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4">
    <w:name w:val="Medium Shading 1 Accent 3"/>
    <w:basedOn w:val="38"/>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5">
    <w:name w:val="Medium Shading 1 Accent 4"/>
    <w:basedOn w:val="38"/>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6">
    <w:name w:val="Medium Shading 1 Accent 5"/>
    <w:basedOn w:val="38"/>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7">
    <w:name w:val="Medium Shading 1 Accent 6"/>
    <w:basedOn w:val="38"/>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8">
    <w:name w:val="Medium Shading 2"/>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1"/>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2"/>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3"/>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4"/>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5"/>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6"/>
    <w:basedOn w:val="38"/>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List 1"/>
    <w:basedOn w:val="38"/>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6">
    <w:name w:val="Medium List 1 Accent 1"/>
    <w:basedOn w:val="38"/>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7">
    <w:name w:val="Medium List 1 Accent 2"/>
    <w:basedOn w:val="38"/>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8">
    <w:name w:val="Medium List 1 Accent 3"/>
    <w:basedOn w:val="38"/>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9">
    <w:name w:val="Medium List 1 Accent 4"/>
    <w:basedOn w:val="38"/>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0">
    <w:name w:val="Medium List 1 Accent 5"/>
    <w:basedOn w:val="38"/>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1">
    <w:name w:val="Medium List 1 Accent 6"/>
    <w:basedOn w:val="38"/>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2">
    <w:name w:val="Medium List 2"/>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1"/>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2"/>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3"/>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4"/>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5"/>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6"/>
    <w:basedOn w:val="38"/>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Grid 1"/>
    <w:basedOn w:val="38"/>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0">
    <w:name w:val="Medium Grid 1 Accent 1"/>
    <w:basedOn w:val="38"/>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1">
    <w:name w:val="Medium Grid 1 Accent 2"/>
    <w:basedOn w:val="38"/>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2">
    <w:name w:val="Medium Grid 1 Accent 3"/>
    <w:basedOn w:val="38"/>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3">
    <w:name w:val="Medium Grid 1 Accent 4"/>
    <w:basedOn w:val="38"/>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4">
    <w:name w:val="Medium Grid 1 Accent 5"/>
    <w:basedOn w:val="38"/>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5">
    <w:name w:val="Medium Grid 1 Accent 6"/>
    <w:basedOn w:val="38"/>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6">
    <w:name w:val="Medium Grid 2"/>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7">
    <w:name w:val="Medium Grid 2 Accent 1"/>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8">
    <w:name w:val="Medium Grid 2 Accent 2"/>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9">
    <w:name w:val="Medium Grid 2 Accent 3"/>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0">
    <w:name w:val="Medium Grid 2 Accent 4"/>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1">
    <w:name w:val="Medium Grid 2 Accent 5"/>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2">
    <w:name w:val="Medium Grid 2 Accent 6"/>
    <w:basedOn w:val="38"/>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3">
    <w:name w:val="Medium Grid 3"/>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4">
    <w:name w:val="Medium Grid 3 Accent 1"/>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5">
    <w:name w:val="Medium Grid 3 Accent 2"/>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6">
    <w:name w:val="Medium Grid 3 Accent 3"/>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7">
    <w:name w:val="Medium Grid 3 Accent 4"/>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8">
    <w:name w:val="Medium Grid 3 Accent 5"/>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9">
    <w:name w:val="Medium Grid 3 Accent 6"/>
    <w:basedOn w:val="38"/>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0">
    <w:name w:val="Dark List"/>
    <w:basedOn w:val="38"/>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38"/>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2">
    <w:name w:val="Dark List Accent 2"/>
    <w:basedOn w:val="38"/>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3">
    <w:name w:val="Dark List Accent 3"/>
    <w:basedOn w:val="38"/>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38"/>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38"/>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38"/>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7">
    <w:name w:val="Colorful Shading"/>
    <w:basedOn w:val="38"/>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1"/>
    <w:basedOn w:val="38"/>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2"/>
    <w:basedOn w:val="38"/>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3"/>
    <w:basedOn w:val="38"/>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1">
    <w:name w:val="Colorful Shading Accent 4"/>
    <w:basedOn w:val="38"/>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5"/>
    <w:basedOn w:val="38"/>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6"/>
    <w:basedOn w:val="38"/>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List"/>
    <w:basedOn w:val="38"/>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5">
    <w:name w:val="Colorful List Accent 1"/>
    <w:basedOn w:val="38"/>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6">
    <w:name w:val="Colorful List Accent 2"/>
    <w:basedOn w:val="38"/>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7">
    <w:name w:val="Colorful List Accent 3"/>
    <w:basedOn w:val="38"/>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8">
    <w:name w:val="Colorful List Accent 4"/>
    <w:basedOn w:val="38"/>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9">
    <w:name w:val="Colorful List Accent 5"/>
    <w:basedOn w:val="38"/>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0">
    <w:name w:val="Colorful List Accent 6"/>
    <w:basedOn w:val="38"/>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1">
    <w:name w:val="Colorful Grid"/>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2">
    <w:name w:val="Colorful Grid Accent 1"/>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3">
    <w:name w:val="Colorful Grid Accent 2"/>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4">
    <w:name w:val="Colorful Grid Accent 3"/>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5">
    <w:name w:val="Colorful Grid Accent 4"/>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6">
    <w:name w:val="Colorful Grid Accent 5"/>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7">
    <w:name w:val="Colorful Grid Accent 6"/>
    <w:basedOn w:val="38"/>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9">
    <w:name w:val="Strong"/>
    <w:basedOn w:val="138"/>
    <w:qFormat/>
    <w:uiPriority w:val="22"/>
    <w:rPr>
      <w:b/>
      <w:bCs/>
    </w:rPr>
  </w:style>
  <w:style w:type="character" w:styleId="140">
    <w:name w:val="Emphasis"/>
    <w:basedOn w:val="138"/>
    <w:qFormat/>
    <w:uiPriority w:val="20"/>
    <w:rPr>
      <w:i/>
      <w:iCs/>
    </w:rPr>
  </w:style>
  <w:style w:type="character" w:styleId="141">
    <w:name w:val="Hyperlink"/>
    <w:basedOn w:val="138"/>
    <w:unhideWhenUsed/>
    <w:qFormat/>
    <w:uiPriority w:val="99"/>
    <w:rPr>
      <w:color w:val="0000FF" w:themeColor="hyperlink"/>
      <w:u w:val="single"/>
      <w14:textFill>
        <w14:solidFill>
          <w14:schemeClr w14:val="hlink"/>
        </w14:solidFill>
      </w14:textFill>
    </w:rPr>
  </w:style>
  <w:style w:type="character" w:styleId="142">
    <w:name w:val="annotation reference"/>
    <w:basedOn w:val="138"/>
    <w:semiHidden/>
    <w:unhideWhenUsed/>
    <w:qFormat/>
    <w:uiPriority w:val="99"/>
    <w:rPr>
      <w:sz w:val="21"/>
      <w:szCs w:val="21"/>
    </w:rPr>
  </w:style>
  <w:style w:type="character" w:customStyle="1" w:styleId="143">
    <w:name w:val="页眉 字符"/>
    <w:basedOn w:val="138"/>
    <w:link w:val="27"/>
    <w:qFormat/>
    <w:uiPriority w:val="99"/>
  </w:style>
  <w:style w:type="character" w:customStyle="1" w:styleId="144">
    <w:name w:val="页脚 字符"/>
    <w:basedOn w:val="138"/>
    <w:link w:val="26"/>
    <w:qFormat/>
    <w:uiPriority w:val="99"/>
  </w:style>
  <w:style w:type="paragraph" w:styleId="145">
    <w:name w:val="No Spacing"/>
    <w:qFormat/>
    <w:uiPriority w:val="1"/>
    <w:rPr>
      <w:rFonts w:asciiTheme="minorHAnsi" w:hAnsiTheme="minorHAnsi" w:eastAsiaTheme="minorEastAsia" w:cstheme="minorBidi"/>
      <w:sz w:val="22"/>
      <w:szCs w:val="22"/>
      <w:lang w:val="en-US" w:eastAsia="en-US" w:bidi="ar-SA"/>
    </w:rPr>
  </w:style>
  <w:style w:type="character" w:customStyle="1" w:styleId="146">
    <w:name w:val="标题 1 字符"/>
    <w:basedOn w:val="138"/>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7">
    <w:name w:val="标题 2 字符"/>
    <w:basedOn w:val="138"/>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8">
    <w:name w:val="标题 3 字符"/>
    <w:basedOn w:val="138"/>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9">
    <w:name w:val="标题 字符"/>
    <w:basedOn w:val="138"/>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0">
    <w:name w:val="副标题 字符"/>
    <w:basedOn w:val="138"/>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1">
    <w:name w:val="List Paragraph"/>
    <w:basedOn w:val="1"/>
    <w:qFormat/>
    <w:uiPriority w:val="34"/>
    <w:pPr>
      <w:ind w:left="720"/>
      <w:contextualSpacing/>
    </w:pPr>
  </w:style>
  <w:style w:type="character" w:customStyle="1" w:styleId="152">
    <w:name w:val="正文文本 字符"/>
    <w:basedOn w:val="138"/>
    <w:link w:val="20"/>
    <w:qFormat/>
    <w:uiPriority w:val="99"/>
  </w:style>
  <w:style w:type="character" w:customStyle="1" w:styleId="153">
    <w:name w:val="正文文本 2 字符"/>
    <w:basedOn w:val="138"/>
    <w:link w:val="32"/>
    <w:qFormat/>
    <w:uiPriority w:val="99"/>
  </w:style>
  <w:style w:type="character" w:customStyle="1" w:styleId="154">
    <w:name w:val="正文文本 3 字符"/>
    <w:basedOn w:val="138"/>
    <w:link w:val="18"/>
    <w:qFormat/>
    <w:uiPriority w:val="99"/>
    <w:rPr>
      <w:sz w:val="16"/>
      <w:szCs w:val="16"/>
    </w:rPr>
  </w:style>
  <w:style w:type="character" w:customStyle="1" w:styleId="155">
    <w:name w:val="宏文本 字符"/>
    <w:basedOn w:val="138"/>
    <w:link w:val="2"/>
    <w:qFormat/>
    <w:uiPriority w:val="99"/>
    <w:rPr>
      <w:rFonts w:ascii="Courier" w:hAnsi="Courier"/>
      <w:sz w:val="20"/>
      <w:szCs w:val="20"/>
    </w:rPr>
  </w:style>
  <w:style w:type="paragraph" w:styleId="156">
    <w:name w:val="Quote"/>
    <w:basedOn w:val="1"/>
    <w:next w:val="1"/>
    <w:link w:val="157"/>
    <w:qFormat/>
    <w:uiPriority w:val="29"/>
    <w:rPr>
      <w:i/>
      <w:iCs/>
      <w:color w:val="000000" w:themeColor="text1"/>
      <w14:textFill>
        <w14:solidFill>
          <w14:schemeClr w14:val="tx1"/>
        </w14:solidFill>
      </w14:textFill>
    </w:rPr>
  </w:style>
  <w:style w:type="character" w:customStyle="1" w:styleId="157">
    <w:name w:val="引用 字符"/>
    <w:basedOn w:val="138"/>
    <w:link w:val="156"/>
    <w:qFormat/>
    <w:uiPriority w:val="29"/>
    <w:rPr>
      <w:i/>
      <w:iCs/>
      <w:color w:val="000000" w:themeColor="text1"/>
      <w14:textFill>
        <w14:solidFill>
          <w14:schemeClr w14:val="tx1"/>
        </w14:solidFill>
      </w14:textFill>
    </w:rPr>
  </w:style>
  <w:style w:type="character" w:customStyle="1" w:styleId="158">
    <w:name w:val="标题 4 字符"/>
    <w:basedOn w:val="138"/>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9">
    <w:name w:val="标题 5 字符"/>
    <w:basedOn w:val="138"/>
    <w:link w:val="7"/>
    <w:semiHidden/>
    <w:qFormat/>
    <w:uiPriority w:val="9"/>
    <w:rPr>
      <w:rFonts w:asciiTheme="majorHAnsi" w:hAnsiTheme="majorHAnsi" w:eastAsiaTheme="majorEastAsia" w:cstheme="majorBidi"/>
      <w:color w:val="254061" w:themeColor="accent1" w:themeShade="80"/>
    </w:rPr>
  </w:style>
  <w:style w:type="character" w:customStyle="1" w:styleId="160">
    <w:name w:val="标题 6 字符"/>
    <w:basedOn w:val="138"/>
    <w:link w:val="8"/>
    <w:semiHidden/>
    <w:qFormat/>
    <w:uiPriority w:val="9"/>
    <w:rPr>
      <w:rFonts w:asciiTheme="majorHAnsi" w:hAnsiTheme="majorHAnsi" w:eastAsiaTheme="majorEastAsia" w:cstheme="majorBidi"/>
      <w:i/>
      <w:iCs/>
      <w:color w:val="254061" w:themeColor="accent1" w:themeShade="80"/>
    </w:rPr>
  </w:style>
  <w:style w:type="character" w:customStyle="1" w:styleId="161">
    <w:name w:val="标题 7 字符"/>
    <w:basedOn w:val="138"/>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2">
    <w:name w:val="标题 8 字符"/>
    <w:basedOn w:val="138"/>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3">
    <w:name w:val="标题 9 字符"/>
    <w:basedOn w:val="138"/>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4">
    <w:name w:val="Intense Quote"/>
    <w:basedOn w:val="1"/>
    <w:next w:val="1"/>
    <w:link w:val="165"/>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5">
    <w:name w:val="明显引用 字符"/>
    <w:basedOn w:val="138"/>
    <w:link w:val="164"/>
    <w:qFormat/>
    <w:uiPriority w:val="30"/>
    <w:rPr>
      <w:b/>
      <w:bCs/>
      <w:i/>
      <w:iCs/>
      <w:color w:val="4F81BD" w:themeColor="accent1"/>
      <w14:textFill>
        <w14:solidFill>
          <w14:schemeClr w14:val="accent1"/>
        </w14:solidFill>
      </w14:textFill>
    </w:rPr>
  </w:style>
  <w:style w:type="character" w:customStyle="1" w:styleId="166">
    <w:name w:val="不明显强调1"/>
    <w:basedOn w:val="138"/>
    <w:qFormat/>
    <w:uiPriority w:val="19"/>
    <w:rPr>
      <w:i/>
      <w:iCs/>
      <w:color w:val="808080" w:themeColor="text1" w:themeTint="80"/>
      <w14:textFill>
        <w14:solidFill>
          <w14:schemeClr w14:val="tx1">
            <w14:lumMod w14:val="50000"/>
            <w14:lumOff w14:val="50000"/>
          </w14:schemeClr>
        </w14:solidFill>
      </w14:textFill>
    </w:rPr>
  </w:style>
  <w:style w:type="character" w:customStyle="1" w:styleId="167">
    <w:name w:val="明显强调1"/>
    <w:basedOn w:val="138"/>
    <w:qFormat/>
    <w:uiPriority w:val="21"/>
    <w:rPr>
      <w:b/>
      <w:bCs/>
      <w:i/>
      <w:iCs/>
      <w:color w:val="4F81BD" w:themeColor="accent1"/>
      <w14:textFill>
        <w14:solidFill>
          <w14:schemeClr w14:val="accent1"/>
        </w14:solidFill>
      </w14:textFill>
    </w:rPr>
  </w:style>
  <w:style w:type="character" w:customStyle="1" w:styleId="168">
    <w:name w:val="不明显参考1"/>
    <w:basedOn w:val="138"/>
    <w:qFormat/>
    <w:uiPriority w:val="31"/>
    <w:rPr>
      <w:smallCaps/>
      <w:color w:val="C0504D" w:themeColor="accent2"/>
      <w:u w:val="single"/>
      <w14:textFill>
        <w14:solidFill>
          <w14:schemeClr w14:val="accent2"/>
        </w14:solidFill>
      </w14:textFill>
    </w:rPr>
  </w:style>
  <w:style w:type="character" w:customStyle="1" w:styleId="169">
    <w:name w:val="明显参考1"/>
    <w:basedOn w:val="138"/>
    <w:qFormat/>
    <w:uiPriority w:val="32"/>
    <w:rPr>
      <w:b/>
      <w:bCs/>
      <w:smallCaps/>
      <w:color w:val="C0504D" w:themeColor="accent2"/>
      <w:spacing w:val="5"/>
      <w:u w:val="single"/>
      <w14:textFill>
        <w14:solidFill>
          <w14:schemeClr w14:val="accent2"/>
        </w14:solidFill>
      </w14:textFill>
    </w:rPr>
  </w:style>
  <w:style w:type="character" w:customStyle="1" w:styleId="170">
    <w:name w:val="书籍标题1"/>
    <w:basedOn w:val="138"/>
    <w:qFormat/>
    <w:uiPriority w:val="33"/>
    <w:rPr>
      <w:b/>
      <w:bCs/>
      <w:smallCaps/>
      <w:spacing w:val="5"/>
    </w:rPr>
  </w:style>
  <w:style w:type="paragraph" w:customStyle="1" w:styleId="171">
    <w:name w:val="TOC 标题1"/>
    <w:basedOn w:val="3"/>
    <w:next w:val="1"/>
    <w:semiHidden/>
    <w:unhideWhenUsed/>
    <w:qFormat/>
    <w:uiPriority w:val="39"/>
    <w:pPr>
      <w:outlineLvl w:val="9"/>
    </w:pPr>
  </w:style>
  <w:style w:type="paragraph" w:customStyle="1" w:styleId="172">
    <w:name w:val="Front Heading"/>
    <w:qFormat/>
    <w:uiPriority w:val="0"/>
    <w:pPr>
      <w:keepNext/>
      <w:spacing w:before="180" w:after="200" w:line="276" w:lineRule="auto"/>
      <w:jc w:val="center"/>
    </w:pPr>
    <w:rPr>
      <w:rFonts w:ascii="Aptos Display" w:hAnsi="Aptos Display" w:eastAsia="等线" w:cstheme="minorBidi"/>
      <w:b/>
      <w:color w:val="000000"/>
      <w:sz w:val="32"/>
      <w:szCs w:val="22"/>
      <w:lang w:val="en-US" w:eastAsia="en-US" w:bidi="ar-SA"/>
    </w:rPr>
  </w:style>
  <w:style w:type="paragraph" w:customStyle="1" w:styleId="173">
    <w:name w:val="Lead"/>
    <w:qFormat/>
    <w:uiPriority w:val="0"/>
    <w:pPr>
      <w:spacing w:before="160" w:after="160" w:line="276" w:lineRule="auto"/>
    </w:pPr>
    <w:rPr>
      <w:rFonts w:ascii="Arial" w:hAnsi="Arial" w:eastAsia="微软雅黑" w:cstheme="minorBidi"/>
      <w:b/>
      <w:color w:val="203A5F"/>
      <w:sz w:val="24"/>
      <w:szCs w:val="22"/>
      <w:lang w:val="en-US" w:eastAsia="en-US" w:bidi="ar-SA"/>
    </w:rPr>
  </w:style>
  <w:style w:type="paragraph" w:customStyle="1" w:styleId="174">
    <w:name w:val="Figure Caption"/>
    <w:qFormat/>
    <w:uiPriority w:val="0"/>
    <w:pPr>
      <w:keepNext/>
      <w:spacing w:before="80" w:after="120" w:line="276" w:lineRule="auto"/>
      <w:jc w:val="center"/>
    </w:pPr>
    <w:rPr>
      <w:rFonts w:ascii="Times New Roman" w:hAnsi="Times New Roman" w:eastAsia="宋体" w:cstheme="minorBidi"/>
      <w:b/>
      <w:color w:val="666666"/>
      <w:sz w:val="18"/>
      <w:szCs w:val="22"/>
      <w:lang w:val="en-US" w:eastAsia="en-US" w:bidi="ar-SA"/>
    </w:rPr>
  </w:style>
  <w:style w:type="paragraph" w:customStyle="1" w:styleId="175">
    <w:name w:val="Source Note"/>
    <w:qFormat/>
    <w:uiPriority w:val="0"/>
    <w:pPr>
      <w:spacing w:before="80" w:after="120" w:line="276" w:lineRule="auto"/>
      <w:jc w:val="center"/>
    </w:pPr>
    <w:rPr>
      <w:rFonts w:ascii="Times New Roman" w:hAnsi="Times New Roman" w:eastAsia="宋体" w:cstheme="minorBidi"/>
      <w:color w:val="666666"/>
      <w:sz w:val="18"/>
      <w:szCs w:val="22"/>
      <w:lang w:val="en-US" w:eastAsia="en-US" w:bidi="ar-SA"/>
    </w:rPr>
  </w:style>
  <w:style w:type="paragraph" w:customStyle="1" w:styleId="176">
    <w:name w:val="Tool Label"/>
    <w:qFormat/>
    <w:uiPriority w:val="0"/>
    <w:pPr>
      <w:keepNext/>
      <w:spacing w:before="160" w:after="160" w:line="276" w:lineRule="auto"/>
    </w:pPr>
    <w:rPr>
      <w:rFonts w:ascii="Arial" w:hAnsi="Arial" w:eastAsia="微软雅黑" w:cstheme="minorBidi"/>
      <w:b/>
      <w:color w:val="E65322"/>
      <w:sz w:val="22"/>
      <w:szCs w:val="22"/>
      <w:lang w:val="en-US" w:eastAsia="en-US" w:bidi="ar-SA"/>
    </w:rPr>
  </w:style>
  <w:style w:type="paragraph" w:customStyle="1" w:styleId="177">
    <w:name w:val="Appendix Heading"/>
    <w:qFormat/>
    <w:uiPriority w:val="0"/>
    <w:pPr>
      <w:keepNext/>
      <w:pageBreakBefore/>
      <w:spacing w:before="360" w:after="180" w:line="276" w:lineRule="auto"/>
      <w:outlineLvl w:val="0"/>
    </w:pPr>
    <w:rPr>
      <w:rFonts w:ascii="Times New Roman" w:hAnsi="Times New Roman" w:eastAsia="黑体" w:cstheme="minorBidi"/>
      <w:b/>
      <w:color w:val="1B1C1D"/>
      <w:sz w:val="28"/>
      <w:szCs w:val="22"/>
      <w:lang w:val="en-US" w:eastAsia="en-US" w:bidi="ar-SA"/>
    </w:rPr>
  </w:style>
  <w:style w:type="paragraph" w:customStyle="1" w:styleId="178">
    <w:name w:val="Executive Heading"/>
    <w:qFormat/>
    <w:uiPriority w:val="0"/>
    <w:pPr>
      <w:keepNext/>
      <w:spacing w:before="240" w:after="120" w:line="276" w:lineRule="auto"/>
    </w:pPr>
    <w:rPr>
      <w:rFonts w:ascii="Times New Roman" w:hAnsi="Times New Roman" w:eastAsia="黑体" w:cstheme="minorBidi"/>
      <w:b/>
      <w:color w:val="1B1C1D"/>
      <w:sz w:val="24"/>
      <w:szCs w:val="22"/>
      <w:lang w:val="en-US" w:eastAsia="en-US" w:bidi="ar-SA"/>
    </w:rPr>
  </w:style>
  <w:style w:type="paragraph" w:customStyle="1" w:styleId="179">
    <w:name w:val="Reading Tip"/>
    <w:qFormat/>
    <w:uiPriority w:val="0"/>
    <w:pPr>
      <w:keepLines/>
      <w:spacing w:before="140" w:after="160" w:line="324" w:lineRule="auto"/>
    </w:pPr>
    <w:rPr>
      <w:rFonts w:ascii="Times New Roman" w:hAnsi="Times New Roman" w:eastAsia="宋体" w:cstheme="minorBidi"/>
      <w:color w:val="1B1C1D"/>
      <w:sz w:val="21"/>
      <w:szCs w:val="22"/>
      <w:lang w:val="en-US" w:eastAsia="en-US" w:bidi="ar-SA"/>
    </w:rPr>
  </w:style>
  <w:style w:type="paragraph" w:customStyle="1" w:styleId="180">
    <w:name w:val="Executive Lead"/>
    <w:basedOn w:val="1"/>
    <w:qFormat/>
    <w:uiPriority w:val="0"/>
    <w:pPr>
      <w:spacing w:before="40" w:after="120" w:line="324" w:lineRule="auto"/>
      <w:ind w:left="115" w:right="115"/>
    </w:pPr>
    <w:rPr>
      <w:rFonts w:ascii="宋体" w:hAnsi="宋体"/>
    </w:rPr>
  </w:style>
  <w:style w:type="paragraph" w:customStyle="1" w:styleId="181">
    <w:name w:val="Executive Label"/>
    <w:basedOn w:val="1"/>
    <w:qFormat/>
    <w:uiPriority w:val="0"/>
    <w:pPr>
      <w:keepNext/>
      <w:spacing w:before="140" w:after="60"/>
    </w:pPr>
    <w:rPr>
      <w:rFonts w:ascii="黑体" w:hAnsi="黑体" w:eastAsia="黑体"/>
      <w:b/>
      <w:color w:val="242424"/>
      <w:sz w:val="23"/>
    </w:rPr>
  </w:style>
  <w:style w:type="paragraph" w:customStyle="1" w:styleId="182">
    <w:name w:val="Summary Paragraph"/>
    <w:basedOn w:val="1"/>
    <w:qFormat/>
    <w:uiPriority w:val="0"/>
    <w:pPr>
      <w:spacing w:before="0" w:after="80" w:line="324" w:lineRule="auto"/>
    </w:pPr>
    <w:rPr>
      <w:rFonts w:ascii="宋体" w:hAnsi="宋体"/>
    </w:rPr>
  </w:style>
  <w:style w:type="paragraph" w:customStyle="1" w:styleId="183">
    <w:name w:val="Reading Route"/>
    <w:basedOn w:val="1"/>
    <w:qFormat/>
    <w:uiPriority w:val="0"/>
    <w:pPr>
      <w:spacing w:before="40" w:after="60" w:line="300" w:lineRule="auto"/>
      <w:ind w:left="115" w:right="115"/>
    </w:pPr>
    <w:rPr>
      <w:rFonts w:ascii="宋体" w:hAnsi="宋体"/>
    </w:rPr>
  </w:style>
  <w:style w:type="paragraph" w:customStyle="1" w:styleId="184">
    <w:name w:val="Appendix Guide"/>
    <w:basedOn w:val="1"/>
    <w:qFormat/>
    <w:uiPriority w:val="0"/>
    <w:pPr>
      <w:spacing w:after="40" w:line="300" w:lineRule="auto"/>
    </w:pPr>
    <w:rPr>
      <w:rFonts w:ascii="宋体" w:hAnsi="宋体"/>
      <w:sz w:val="20"/>
    </w:rPr>
  </w:style>
  <w:style w:type="paragraph" w:customStyle="1" w:styleId="185">
    <w:name w:val="修订1"/>
    <w:hidden/>
    <w:unhideWhenUsed/>
    <w:qFormat/>
    <w:uiPriority w:val="99"/>
    <w:rPr>
      <w:rFonts w:ascii="Times New Roman" w:hAnsi="Times New Roman" w:eastAsia="宋体" w:cstheme="minorBidi"/>
      <w:color w:val="1B1C1D"/>
      <w:sz w:val="21"/>
      <w:szCs w:val="22"/>
      <w:lang w:val="en-US" w:eastAsia="en-US" w:bidi="ar-SA"/>
    </w:rPr>
  </w:style>
  <w:style w:type="paragraph" w:customStyle="1" w:styleId="186">
    <w:name w:val="Report Quote"/>
    <w:qFormat/>
    <w:uiPriority w:val="0"/>
    <w:pPr>
      <w:spacing w:before="60" w:after="60" w:line="324" w:lineRule="auto"/>
      <w:ind w:left="425" w:right="227"/>
    </w:pPr>
    <w:rPr>
      <w:rFonts w:ascii="宋体" w:hAnsi="宋体" w:eastAsia="宋体" w:cs="Times New Roman"/>
      <w:color w:val="4C535C"/>
      <w:sz w:val="21"/>
      <w:lang w:val="en-US" w:eastAsia="zh-CN" w:bidi="ar-SA"/>
    </w:rPr>
  </w:style>
  <w:style w:type="character" w:customStyle="1" w:styleId="187">
    <w:name w:val="批注文字 字符"/>
    <w:basedOn w:val="138"/>
    <w:link w:val="17"/>
    <w:semiHidden/>
    <w:qFormat/>
    <w:uiPriority w:val="99"/>
    <w:rPr>
      <w:rFonts w:ascii="Aptos" w:hAnsi="Aptos" w:cstheme="minorBidi"/>
      <w:color w:val="1B1C1D"/>
      <w:sz w:val="21"/>
      <w:szCs w:val="22"/>
      <w:lang w:eastAsia="en-US"/>
    </w:rPr>
  </w:style>
  <w:style w:type="paragraph" w:customStyle="1" w:styleId="188">
    <w:name w:val="修订2"/>
    <w:hidden/>
    <w:unhideWhenUsed/>
    <w:qFormat/>
    <w:uiPriority w:val="99"/>
    <w:rPr>
      <w:rFonts w:ascii="Aptos" w:hAnsi="Aptos" w:eastAsia="宋体" w:cstheme="minorBidi"/>
      <w:color w:val="1B1C1D"/>
      <w:sz w:val="21"/>
      <w:szCs w:val="22"/>
      <w:lang w:val="en-US" w:eastAsia="en-US" w:bidi="ar-SA"/>
    </w:rPr>
  </w:style>
  <w:style w:type="paragraph" w:customStyle="1" w:styleId="189">
    <w:name w:val="修订3"/>
    <w:hidden/>
    <w:unhideWhenUsed/>
    <w:qFormat/>
    <w:uiPriority w:val="99"/>
    <w:rPr>
      <w:rFonts w:ascii="Aptos" w:hAnsi="Aptos" w:eastAsia="宋体" w:cstheme="minorBidi"/>
      <w:color w:val="1B1C1D"/>
      <w:sz w:val="21"/>
      <w:szCs w:val="22"/>
      <w:lang w:val="en-US" w:eastAsia="en-US" w:bidi="ar-SA"/>
    </w:rPr>
  </w:style>
  <w:style w:type="character" w:customStyle="1" w:styleId="190">
    <w:name w:val="批注主题 字符"/>
    <w:basedOn w:val="187"/>
    <w:link w:val="37"/>
    <w:semiHidden/>
    <w:qFormat/>
    <w:uiPriority w:val="99"/>
    <w:rPr>
      <w:rFonts w:ascii="Aptos" w:hAnsi="Aptos" w:cstheme="minorBidi"/>
      <w:b/>
      <w:bCs/>
      <w:color w:val="1B1C1D"/>
      <w:sz w:val="21"/>
      <w:szCs w:val="22"/>
      <w:lang w:eastAsia="en-US"/>
    </w:rPr>
  </w:style>
  <w:style w:type="paragraph" w:customStyle="1" w:styleId="191">
    <w:name w:val="Revision"/>
    <w:hidden/>
    <w:unhideWhenUsed/>
    <w:qFormat/>
    <w:uiPriority w:val="99"/>
    <w:rPr>
      <w:rFonts w:ascii="Aptos" w:hAnsi="Aptos" w:eastAsia="宋体" w:cstheme="minorBidi"/>
      <w:color w:val="1B1C1D"/>
      <w:sz w:val="21"/>
      <w:szCs w:val="22"/>
      <w:lang w:val="en-US" w:eastAsia="en-US" w:bidi="ar-SA"/>
    </w:rPr>
  </w:style>
</w:styles>
</file>

<file path=word/_rels/document.xml.rels><?xml version="1.0" encoding="UTF-8"?><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 Id="rId21" Type="http://schemas.openxmlformats.org/officeDocument/2006/relationships/comments" Target="comments.xml"/><Relationship Id="rId22" Type="http://schemas.microsoft.com/office/2011/relationships/commentsExtended" Target="commentsExtended.xml"/><Relationship Id="rId23" Type="http://schemas.microsoft.com/office/2016/09/relationships/commentsIds" Target="commentsIds.xml"/><Relationship Id="rId2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21733</Words>
  <Characters>22482</Characters>
  <Lines>1272</Lines>
  <Paragraphs>1342</Paragraphs>
  <TotalTime>23</TotalTime>
  <ScaleCrop>false</ScaleCrop>
  <LinksUpToDate>false</LinksUpToDate>
  <CharactersWithSpaces>22599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2026-09-02T14:55:00Z</dcterms:created>
  <dc:creator>酷残未来研究院</dc:creator>
  <cp:keywords>无障碍, 导盲犬, 酒店, 服务犬, 行动研究</cp:keywords>
  <cp:lastModifiedBy>王玄</cp:lastModifiedBy>
  <cp:lastPrinted>2026-09-18T06:53:00Z</cp:lastPrinted>
  <dcterms:modified xsi:type="dcterms:W3CDTF">2026-10-11T12:30:40Z</dcterms:modified>
  <dc:subject>电话调查范围与正文结构修订</dc:subject>
  <dc:title>无障碍环境建设测评报告 导盲犬入住酒店</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eyJoZGlkIjoiMDZmZmI2OWNlNTE1MGRmYjg0MGI3MGYzMDU4Yjk5MTkiLCJ1c2VySWQiOiI0NjY5NjgwMjEifQ==</vt:lpwstr>
  </property>
  <property fmtid="{D5CDD505-2E9C-101B-9397-08002B2CF9AE}" pid="3" name="KSOProductBuildVer">
    <vt:lpwstr>2052-12.1.0.28505</vt:lpwstr>
  </property>
  <property fmtid="{D5CDD505-2E9C-101B-9397-08002B2CF9AE}" pid="4" name="ICV">
    <vt:lpwstr>C462086E05C4413ECC59AB6AE4C56A40_43</vt:lpwstr>
  </property>
</Properties>
</file>